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7AE2" w14:textId="196C4351" w:rsidR="001441D7" w:rsidRDefault="00590128">
      <w:pPr>
        <w:rPr>
          <w:b/>
        </w:rPr>
      </w:pPr>
      <w:r>
        <w:rPr>
          <w:b/>
        </w:rPr>
        <w:t>Eastern region</w:t>
      </w:r>
      <w:r w:rsidR="00495BD5" w:rsidRPr="00495BD5">
        <w:rPr>
          <w:b/>
        </w:rPr>
        <w:t xml:space="preserve">: </w:t>
      </w:r>
      <w:r w:rsidR="00176FD2">
        <w:rPr>
          <w:b/>
        </w:rPr>
        <w:t>operational guidance</w:t>
      </w:r>
      <w:r w:rsidR="00495BD5" w:rsidRPr="00495BD5">
        <w:rPr>
          <w:b/>
        </w:rPr>
        <w:t xml:space="preserve"> on high needs placements and funding</w:t>
      </w:r>
      <w:r w:rsidR="00AC0E8C">
        <w:rPr>
          <w:b/>
        </w:rPr>
        <w:t xml:space="preserve"> across local authority</w:t>
      </w:r>
      <w:r w:rsidR="005B4A84">
        <w:rPr>
          <w:b/>
        </w:rPr>
        <w:t xml:space="preserve"> (LA)</w:t>
      </w:r>
      <w:r w:rsidR="00AC0E8C">
        <w:rPr>
          <w:b/>
        </w:rPr>
        <w:t xml:space="preserve"> boundaries</w:t>
      </w:r>
    </w:p>
    <w:p w14:paraId="18651797" w14:textId="251A0A55" w:rsidR="007C3174" w:rsidRDefault="007C3174">
      <w:r w:rsidRPr="007C3174">
        <w:rPr>
          <w:u w:val="single"/>
        </w:rPr>
        <w:t>Context</w:t>
      </w:r>
    </w:p>
    <w:p w14:paraId="3CE3D806" w14:textId="0E4B6B46" w:rsidR="007C3174" w:rsidRDefault="00176FD2" w:rsidP="007C3174">
      <w:pPr>
        <w:pStyle w:val="ListParagraph"/>
        <w:numPr>
          <w:ilvl w:val="0"/>
          <w:numId w:val="2"/>
        </w:numPr>
      </w:pPr>
      <w:r>
        <w:t>The intention of this guidance is to promote communication and cooperation between local authorities. It is not a blanket policy, and individual cases will always be subject to factors external to the</w:t>
      </w:r>
      <w:r w:rsidR="00590128">
        <w:t xml:space="preserve"> region</w:t>
      </w:r>
      <w:r>
        <w:t xml:space="preserve">, e.g. parental preference, statutory timescales and SEND tribunal rulings. </w:t>
      </w:r>
    </w:p>
    <w:p w14:paraId="7E5F16B8" w14:textId="77777777" w:rsidR="002A2129" w:rsidRDefault="002A2129" w:rsidP="002A2129">
      <w:pPr>
        <w:pStyle w:val="ListParagraph"/>
      </w:pPr>
    </w:p>
    <w:p w14:paraId="3A441608" w14:textId="20DC55CC" w:rsidR="002A2129" w:rsidRDefault="002A2129" w:rsidP="00BE5A43">
      <w:pPr>
        <w:pStyle w:val="ListParagraph"/>
        <w:numPr>
          <w:ilvl w:val="0"/>
          <w:numId w:val="2"/>
        </w:numPr>
      </w:pPr>
      <w:r>
        <w:t>In applying the guidance LAs need to comply with the legal requirement</w:t>
      </w:r>
      <w:r w:rsidR="00D23FC7">
        <w:t>s</w:t>
      </w:r>
      <w:r>
        <w:t>. In particular:</w:t>
      </w:r>
    </w:p>
    <w:p w14:paraId="5CE3B7A4" w14:textId="77777777" w:rsidR="00F21ED8" w:rsidRDefault="00F21ED8" w:rsidP="00F21ED8">
      <w:pPr>
        <w:pStyle w:val="ListParagraph"/>
      </w:pPr>
    </w:p>
    <w:p w14:paraId="4E20295B" w14:textId="695F3C49" w:rsidR="002A2129" w:rsidRDefault="002A2129" w:rsidP="002A2129">
      <w:pPr>
        <w:pStyle w:val="ListParagraph"/>
        <w:numPr>
          <w:ilvl w:val="0"/>
          <w:numId w:val="3"/>
        </w:numPr>
        <w:ind w:left="1276" w:hanging="425"/>
      </w:pPr>
      <w:hyperlink r:id="rId11" w:history="1">
        <w:r w:rsidRPr="00FC090F">
          <w:rPr>
            <w:rStyle w:val="Hyperlink"/>
          </w:rPr>
          <w:t>Section 38</w:t>
        </w:r>
        <w:r w:rsidR="00316C91" w:rsidRPr="00FC090F">
          <w:rPr>
            <w:rStyle w:val="Hyperlink"/>
          </w:rPr>
          <w:t>(</w:t>
        </w:r>
        <w:r w:rsidRPr="00FC090F">
          <w:rPr>
            <w:rStyle w:val="Hyperlink"/>
          </w:rPr>
          <w:t>2</w:t>
        </w:r>
        <w:r w:rsidR="00316C91" w:rsidRPr="00FC090F">
          <w:rPr>
            <w:rStyle w:val="Hyperlink"/>
          </w:rPr>
          <w:t>)(</w:t>
        </w:r>
        <w:r w:rsidRPr="00FC090F">
          <w:rPr>
            <w:rStyle w:val="Hyperlink"/>
          </w:rPr>
          <w:t>b</w:t>
        </w:r>
        <w:r w:rsidR="00316C91" w:rsidRPr="00FC090F">
          <w:rPr>
            <w:rStyle w:val="Hyperlink"/>
          </w:rPr>
          <w:t>)(</w:t>
        </w:r>
        <w:r w:rsidRPr="00FC090F">
          <w:rPr>
            <w:rStyle w:val="Hyperlink"/>
          </w:rPr>
          <w:t>ii) of the Children and Family Act (CFA) 2014</w:t>
        </w:r>
      </w:hyperlink>
      <w:r>
        <w:t xml:space="preserve"> giving parents and young people the right to request any type of school listed in section 38</w:t>
      </w:r>
      <w:r w:rsidR="00316C91" w:rsidRPr="002B7B27">
        <w:t>(</w:t>
      </w:r>
      <w:r w:rsidR="00C87DA6">
        <w:t>3</w:t>
      </w:r>
      <w:r w:rsidR="00316C91" w:rsidRPr="002B7B27">
        <w:t>)</w:t>
      </w:r>
      <w:r>
        <w:t xml:space="preserve"> of the Act</w:t>
      </w:r>
    </w:p>
    <w:p w14:paraId="42DF5EFA" w14:textId="6AB2E84D" w:rsidR="002A2129" w:rsidRDefault="002A2129" w:rsidP="002A2129">
      <w:pPr>
        <w:pStyle w:val="ListParagraph"/>
        <w:numPr>
          <w:ilvl w:val="0"/>
          <w:numId w:val="3"/>
        </w:numPr>
        <w:ind w:left="1276" w:hanging="425"/>
      </w:pPr>
      <w:hyperlink r:id="rId12" w:history="1">
        <w:r w:rsidRPr="00FC090F">
          <w:rPr>
            <w:rStyle w:val="Hyperlink"/>
          </w:rPr>
          <w:t>Section 39(4) CFA 2014</w:t>
        </w:r>
      </w:hyperlink>
      <w:r>
        <w:t xml:space="preserve"> setting out the only reasons why a request for a school can be refused</w:t>
      </w:r>
      <w:r w:rsidR="007364EE">
        <w:t xml:space="preserve"> which are</w:t>
      </w:r>
      <w:r w:rsidR="007E6D1C">
        <w:t>:</w:t>
      </w:r>
    </w:p>
    <w:p w14:paraId="12BBFA9D" w14:textId="77777777" w:rsidR="007364EE" w:rsidRPr="007E6D1C" w:rsidRDefault="007364EE" w:rsidP="00FF365E">
      <w:pPr>
        <w:numPr>
          <w:ilvl w:val="0"/>
          <w:numId w:val="15"/>
        </w:numPr>
        <w:shd w:val="clear" w:color="auto" w:fill="FFFFFF"/>
        <w:spacing w:before="100" w:beforeAutospacing="1" w:after="100" w:afterAutospacing="1" w:line="240" w:lineRule="auto"/>
        <w:rPr>
          <w:rFonts w:eastAsia="Times New Roman" w:cs="Arial"/>
          <w:color w:val="292B2C"/>
          <w:szCs w:val="24"/>
          <w:lang w:eastAsia="en-GB"/>
        </w:rPr>
      </w:pPr>
      <w:r w:rsidRPr="007E6D1C">
        <w:rPr>
          <w:rFonts w:eastAsia="Times New Roman" w:cs="Arial"/>
          <w:color w:val="292B2C"/>
          <w:szCs w:val="24"/>
          <w:lang w:eastAsia="en-GB"/>
        </w:rPr>
        <w:t>the setting is unsuitable for the age, ability, aptitude or special educational needs (SEN) of your child or young person</w:t>
      </w:r>
    </w:p>
    <w:p w14:paraId="508A1BA5" w14:textId="77777777" w:rsidR="007364EE" w:rsidRPr="007E6D1C" w:rsidRDefault="007364EE" w:rsidP="00FF365E">
      <w:pPr>
        <w:numPr>
          <w:ilvl w:val="0"/>
          <w:numId w:val="15"/>
        </w:numPr>
        <w:shd w:val="clear" w:color="auto" w:fill="FFFFFF"/>
        <w:spacing w:before="100" w:beforeAutospacing="1" w:after="100" w:afterAutospacing="1" w:line="240" w:lineRule="auto"/>
        <w:rPr>
          <w:rFonts w:eastAsia="Times New Roman" w:cs="Arial"/>
          <w:color w:val="292B2C"/>
          <w:szCs w:val="24"/>
          <w:lang w:eastAsia="en-GB"/>
        </w:rPr>
      </w:pPr>
      <w:r w:rsidRPr="007E6D1C">
        <w:rPr>
          <w:rFonts w:eastAsia="Times New Roman" w:cs="Arial"/>
          <w:color w:val="292B2C"/>
          <w:szCs w:val="24"/>
          <w:lang w:eastAsia="en-GB"/>
        </w:rPr>
        <w:t>the attendance of your child or young person would be incompatible with the provision of efficient education for others, or</w:t>
      </w:r>
    </w:p>
    <w:p w14:paraId="5D537523" w14:textId="77777777" w:rsidR="007364EE" w:rsidRPr="007E6D1C" w:rsidRDefault="007364EE" w:rsidP="00FF365E">
      <w:pPr>
        <w:numPr>
          <w:ilvl w:val="0"/>
          <w:numId w:val="15"/>
        </w:numPr>
        <w:shd w:val="clear" w:color="auto" w:fill="FFFFFF"/>
        <w:spacing w:before="100" w:beforeAutospacing="1" w:after="100" w:afterAutospacing="1" w:line="240" w:lineRule="auto"/>
        <w:rPr>
          <w:rFonts w:eastAsia="Times New Roman" w:cs="Arial"/>
          <w:color w:val="292B2C"/>
          <w:szCs w:val="24"/>
          <w:lang w:eastAsia="en-GB"/>
        </w:rPr>
      </w:pPr>
      <w:r w:rsidRPr="007E6D1C">
        <w:rPr>
          <w:rFonts w:eastAsia="Times New Roman" w:cs="Arial"/>
          <w:color w:val="292B2C"/>
          <w:szCs w:val="24"/>
          <w:lang w:eastAsia="en-GB"/>
        </w:rPr>
        <w:t>the attendance of your child or young person would be incompatible with the efficient use of resources.</w:t>
      </w:r>
    </w:p>
    <w:p w14:paraId="4EF83687" w14:textId="7694DB55" w:rsidR="004A7351" w:rsidRDefault="004A7351" w:rsidP="007E6D1C">
      <w:pPr>
        <w:ind w:left="709"/>
      </w:pPr>
      <w:r>
        <w:t xml:space="preserve">This guidance does not constitute legal advice and individual LAs should </w:t>
      </w:r>
      <w:r w:rsidR="00D23FC7">
        <w:t xml:space="preserve">still </w:t>
      </w:r>
      <w:r>
        <w:t>consult their legal advisers on any particular issue where required.</w:t>
      </w:r>
    </w:p>
    <w:p w14:paraId="120F2DA0" w14:textId="4D9B8D40" w:rsidR="00155A71" w:rsidRDefault="00155A71" w:rsidP="00155A71">
      <w:pPr>
        <w:pStyle w:val="ListParagraph"/>
        <w:numPr>
          <w:ilvl w:val="0"/>
          <w:numId w:val="2"/>
        </w:numPr>
      </w:pPr>
      <w:r>
        <w:t xml:space="preserve">LAs need to bear in mind case law in relation to agreeing to meeting the preferences of parents. </w:t>
      </w:r>
      <w:r w:rsidR="00FC090F">
        <w:t>Some</w:t>
      </w:r>
      <w:r w:rsidR="00F9200A">
        <w:t xml:space="preserve"> </w:t>
      </w:r>
      <w:r w:rsidR="00C87DA6">
        <w:t>U</w:t>
      </w:r>
      <w:r w:rsidR="00F9200A">
        <w:t xml:space="preserve">pper </w:t>
      </w:r>
      <w:r w:rsidR="00C87DA6">
        <w:t>T</w:t>
      </w:r>
      <w:r w:rsidR="00F9200A">
        <w:t xml:space="preserve">ribunal </w:t>
      </w:r>
      <w:r w:rsidR="00C87DA6">
        <w:t xml:space="preserve">and High Court </w:t>
      </w:r>
      <w:r w:rsidR="00FC090F">
        <w:t xml:space="preserve">decisions are </w:t>
      </w:r>
      <w:r>
        <w:t>helpful</w:t>
      </w:r>
      <w:r w:rsidR="00FC090F">
        <w:t>ly</w:t>
      </w:r>
      <w:r>
        <w:t xml:space="preserve"> summarised with links to the full court judgement on the IPSEA website:</w:t>
      </w:r>
    </w:p>
    <w:p w14:paraId="16BDC5EF" w14:textId="77777777" w:rsidR="007E6D1C" w:rsidRDefault="007E6D1C" w:rsidP="007E6D1C">
      <w:pPr>
        <w:pStyle w:val="ListParagraph"/>
      </w:pPr>
    </w:p>
    <w:p w14:paraId="314143DA" w14:textId="77777777" w:rsidR="00FC090F" w:rsidRDefault="00155A71" w:rsidP="00FC090F">
      <w:pPr>
        <w:pStyle w:val="ListParagraph"/>
        <w:numPr>
          <w:ilvl w:val="0"/>
          <w:numId w:val="8"/>
        </w:numPr>
      </w:pPr>
      <w:hyperlink r:id="rId13" w:history="1">
        <w:r w:rsidRPr="00155A71">
          <w:rPr>
            <w:rStyle w:val="Hyperlink"/>
          </w:rPr>
          <w:t>When an LA can refuse to name a school of college because it is incompatible with the efficient education of others</w:t>
        </w:r>
      </w:hyperlink>
    </w:p>
    <w:p w14:paraId="53DC1E0D" w14:textId="46DC7ED5" w:rsidR="007D2732" w:rsidRPr="00F9200A" w:rsidRDefault="00FC090F" w:rsidP="007D2732">
      <w:pPr>
        <w:pStyle w:val="ListParagraph"/>
        <w:numPr>
          <w:ilvl w:val="0"/>
          <w:numId w:val="8"/>
        </w:numPr>
        <w:rPr>
          <w:rStyle w:val="Hyperlink"/>
          <w:color w:val="auto"/>
          <w:u w:val="none"/>
        </w:rPr>
      </w:pPr>
      <w:hyperlink r:id="rId14" w:history="1">
        <w:r w:rsidRPr="00FC090F">
          <w:rPr>
            <w:rStyle w:val="Hyperlink"/>
            <w:rFonts w:cs="Arial"/>
            <w:color w:val="D34602"/>
            <w:szCs w:val="24"/>
          </w:rPr>
          <w:t>When an LA can refuse to name a school or college because it is incompatible with the efficient use of resources</w:t>
        </w:r>
      </w:hyperlink>
    </w:p>
    <w:p w14:paraId="3000E420" w14:textId="77777777" w:rsidR="007F6497" w:rsidRDefault="00825984" w:rsidP="007F6497">
      <w:pPr>
        <w:ind w:left="709"/>
        <w:rPr>
          <w:rFonts w:cs="Arial"/>
          <w:color w:val="0B0C0C"/>
          <w:szCs w:val="24"/>
          <w:shd w:val="clear" w:color="auto" w:fill="FFFFFF"/>
        </w:rPr>
      </w:pPr>
      <w:r>
        <w:t xml:space="preserve">There is also </w:t>
      </w:r>
      <w:r w:rsidRPr="000B75FC">
        <w:rPr>
          <w:szCs w:val="24"/>
        </w:rPr>
        <w:t xml:space="preserve">a more recent case </w:t>
      </w:r>
      <w:hyperlink r:id="rId15" w:history="1">
        <w:r w:rsidRPr="000B75FC">
          <w:rPr>
            <w:rStyle w:val="Hyperlink"/>
            <w:szCs w:val="24"/>
          </w:rPr>
          <w:t>OO and BO v London Borough Bexley: [2023] UKUT 223 (AAC) - GOV.UK (www.gov.uk)</w:t>
        </w:r>
      </w:hyperlink>
      <w:r w:rsidR="000B75FC" w:rsidRPr="000B75FC">
        <w:rPr>
          <w:szCs w:val="24"/>
        </w:rPr>
        <w:t xml:space="preserve">. </w:t>
      </w:r>
      <w:r w:rsidR="00AA45F6">
        <w:rPr>
          <w:szCs w:val="24"/>
        </w:rPr>
        <w:t>The High Court consider</w:t>
      </w:r>
      <w:r w:rsidR="009F6D48">
        <w:rPr>
          <w:szCs w:val="24"/>
        </w:rPr>
        <w:t>ed</w:t>
      </w:r>
      <w:r w:rsidR="00AA45F6">
        <w:rPr>
          <w:szCs w:val="24"/>
        </w:rPr>
        <w:t xml:space="preserve"> whether </w:t>
      </w:r>
      <w:r w:rsidR="009762DB">
        <w:rPr>
          <w:szCs w:val="24"/>
        </w:rPr>
        <w:t>attendance of a child at a special school requested by pare</w:t>
      </w:r>
      <w:r w:rsidR="004A7351">
        <w:rPr>
          <w:szCs w:val="24"/>
        </w:rPr>
        <w:t>nt</w:t>
      </w:r>
      <w:r w:rsidR="009762DB">
        <w:rPr>
          <w:szCs w:val="24"/>
        </w:rPr>
        <w:t xml:space="preserve">s </w:t>
      </w:r>
      <w:r w:rsidR="000B75FC" w:rsidRPr="00F9200A">
        <w:rPr>
          <w:rFonts w:cs="Arial"/>
          <w:color w:val="0B0C0C"/>
          <w:szCs w:val="24"/>
          <w:shd w:val="clear" w:color="auto" w:fill="FFFFFF"/>
        </w:rPr>
        <w:t>would be incompatible with the provision of efficient education for others</w:t>
      </w:r>
      <w:r w:rsidR="00E661B5">
        <w:rPr>
          <w:rFonts w:cs="Arial"/>
          <w:color w:val="0B0C0C"/>
          <w:szCs w:val="24"/>
          <w:shd w:val="clear" w:color="auto" w:fill="FFFFFF"/>
        </w:rPr>
        <w:t xml:space="preserve"> as set on the Children and Families Act 2014</w:t>
      </w:r>
      <w:r w:rsidR="000B75FC" w:rsidRPr="00F9200A">
        <w:rPr>
          <w:rFonts w:cs="Arial"/>
          <w:color w:val="0B0C0C"/>
          <w:szCs w:val="24"/>
          <w:shd w:val="clear" w:color="auto" w:fill="FFFFFF"/>
        </w:rPr>
        <w:t xml:space="preserve"> (s39(4)(b)(</w:t>
      </w:r>
      <w:proofErr w:type="spellStart"/>
      <w:r w:rsidR="000B75FC" w:rsidRPr="00F9200A">
        <w:rPr>
          <w:rFonts w:cs="Arial"/>
          <w:color w:val="0B0C0C"/>
          <w:szCs w:val="24"/>
          <w:shd w:val="clear" w:color="auto" w:fill="FFFFFF"/>
        </w:rPr>
        <w:t>i</w:t>
      </w:r>
      <w:proofErr w:type="spellEnd"/>
      <w:r w:rsidR="000B75FC" w:rsidRPr="00F9200A">
        <w:rPr>
          <w:rFonts w:cs="Arial"/>
          <w:color w:val="0B0C0C"/>
          <w:szCs w:val="24"/>
          <w:shd w:val="clear" w:color="auto" w:fill="FFFFFF"/>
        </w:rPr>
        <w:t>))</w:t>
      </w:r>
      <w:r w:rsidR="003A2B4E">
        <w:rPr>
          <w:rFonts w:cs="Arial"/>
          <w:color w:val="0B0C0C"/>
          <w:szCs w:val="24"/>
          <w:shd w:val="clear" w:color="auto" w:fill="FFFFFF"/>
        </w:rPr>
        <w:t xml:space="preserve">. The High Court </w:t>
      </w:r>
      <w:r w:rsidR="00591D67">
        <w:rPr>
          <w:rFonts w:cs="Arial"/>
          <w:color w:val="0B0C0C"/>
          <w:szCs w:val="24"/>
          <w:shd w:val="clear" w:color="auto" w:fill="FFFFFF"/>
        </w:rPr>
        <w:t xml:space="preserve">held that </w:t>
      </w:r>
      <w:r w:rsidR="000B75FC" w:rsidRPr="00F9200A">
        <w:rPr>
          <w:rFonts w:cs="Arial"/>
          <w:color w:val="0B0C0C"/>
          <w:szCs w:val="24"/>
          <w:shd w:val="clear" w:color="auto" w:fill="FFFFFF"/>
        </w:rPr>
        <w:t>the test in s39(4)(b)(</w:t>
      </w:r>
      <w:proofErr w:type="spellStart"/>
      <w:r w:rsidR="000B75FC" w:rsidRPr="00F9200A">
        <w:rPr>
          <w:rFonts w:cs="Arial"/>
          <w:color w:val="0B0C0C"/>
          <w:szCs w:val="24"/>
          <w:shd w:val="clear" w:color="auto" w:fill="FFFFFF"/>
        </w:rPr>
        <w:t>i</w:t>
      </w:r>
      <w:proofErr w:type="spellEnd"/>
      <w:r w:rsidR="000B75FC" w:rsidRPr="00F9200A">
        <w:rPr>
          <w:rFonts w:cs="Arial"/>
          <w:color w:val="0B0C0C"/>
          <w:szCs w:val="24"/>
          <w:shd w:val="clear" w:color="auto" w:fill="FFFFFF"/>
        </w:rPr>
        <w:t>) is a sophisticated one, requiring</w:t>
      </w:r>
      <w:r w:rsidR="00591D67">
        <w:rPr>
          <w:rFonts w:cs="Arial"/>
          <w:color w:val="0B0C0C"/>
          <w:szCs w:val="24"/>
          <w:shd w:val="clear" w:color="auto" w:fill="FFFFFF"/>
        </w:rPr>
        <w:t>:</w:t>
      </w:r>
      <w:r w:rsidR="000B75FC" w:rsidRPr="00F9200A">
        <w:rPr>
          <w:rFonts w:cs="Arial"/>
          <w:color w:val="0B0C0C"/>
          <w:szCs w:val="24"/>
          <w:shd w:val="clear" w:color="auto" w:fill="FFFFFF"/>
        </w:rPr>
        <w:t xml:space="preserve"> </w:t>
      </w:r>
    </w:p>
    <w:p w14:paraId="2A19199D" w14:textId="77777777" w:rsidR="007F6497" w:rsidRDefault="000B75FC" w:rsidP="007F6497">
      <w:pPr>
        <w:pStyle w:val="ListParagraph"/>
        <w:numPr>
          <w:ilvl w:val="0"/>
          <w:numId w:val="11"/>
        </w:numPr>
        <w:rPr>
          <w:rFonts w:cs="Arial"/>
          <w:color w:val="0B0C0C"/>
          <w:szCs w:val="24"/>
          <w:shd w:val="clear" w:color="auto" w:fill="FFFFFF"/>
        </w:rPr>
      </w:pPr>
      <w:r w:rsidRPr="007F6497">
        <w:rPr>
          <w:rFonts w:cs="Arial"/>
          <w:color w:val="0B0C0C"/>
          <w:szCs w:val="24"/>
          <w:shd w:val="clear" w:color="auto" w:fill="FFFFFF"/>
        </w:rPr>
        <w:lastRenderedPageBreak/>
        <w:t>a degree of precision and/or detail as to which children would be affected?</w:t>
      </w:r>
    </w:p>
    <w:p w14:paraId="093C7F2C" w14:textId="77777777" w:rsidR="007F6497" w:rsidRDefault="000B75FC" w:rsidP="007F6497">
      <w:pPr>
        <w:pStyle w:val="ListParagraph"/>
        <w:numPr>
          <w:ilvl w:val="0"/>
          <w:numId w:val="11"/>
        </w:numPr>
        <w:rPr>
          <w:rFonts w:cs="Arial"/>
          <w:color w:val="0B0C0C"/>
          <w:szCs w:val="24"/>
          <w:shd w:val="clear" w:color="auto" w:fill="FFFFFF"/>
        </w:rPr>
      </w:pPr>
      <w:r w:rsidRPr="007F6497">
        <w:rPr>
          <w:rFonts w:cs="Arial"/>
          <w:color w:val="0B0C0C"/>
          <w:szCs w:val="24"/>
          <w:shd w:val="clear" w:color="auto" w:fill="FFFFFF"/>
        </w:rPr>
        <w:t>was the standard of their education currently at, or above, the “efficient education” standard?</w:t>
      </w:r>
    </w:p>
    <w:p w14:paraId="79CA736F" w14:textId="77777777" w:rsidR="007F6497" w:rsidRDefault="000B75FC" w:rsidP="007F6497">
      <w:pPr>
        <w:pStyle w:val="ListParagraph"/>
        <w:numPr>
          <w:ilvl w:val="0"/>
          <w:numId w:val="11"/>
        </w:numPr>
        <w:rPr>
          <w:rFonts w:cs="Arial"/>
          <w:color w:val="0B0C0C"/>
          <w:szCs w:val="24"/>
          <w:shd w:val="clear" w:color="auto" w:fill="FFFFFF"/>
        </w:rPr>
      </w:pPr>
      <w:r w:rsidRPr="007F6497">
        <w:rPr>
          <w:rFonts w:cs="Arial"/>
          <w:color w:val="0B0C0C"/>
          <w:szCs w:val="24"/>
          <w:shd w:val="clear" w:color="auto" w:fill="FFFFFF"/>
        </w:rPr>
        <w:t xml:space="preserve">what effect the child’s attendance would have on the standard of those other children’s education, and, if the effect was to reduce it below the “efficient education” standard, was that inevitable? </w:t>
      </w:r>
    </w:p>
    <w:p w14:paraId="0C9DB3EC" w14:textId="70E77041" w:rsidR="00825984" w:rsidRPr="007F6497" w:rsidRDefault="00F10755" w:rsidP="007F6497">
      <w:pPr>
        <w:ind w:left="709"/>
        <w:rPr>
          <w:rFonts w:cs="Arial"/>
          <w:color w:val="0B0C0C"/>
          <w:szCs w:val="24"/>
          <w:shd w:val="clear" w:color="auto" w:fill="FFFFFF"/>
        </w:rPr>
      </w:pPr>
      <w:r w:rsidRPr="007F6497">
        <w:rPr>
          <w:rFonts w:cs="Arial"/>
          <w:color w:val="0B0C0C"/>
          <w:szCs w:val="24"/>
          <w:shd w:val="clear" w:color="auto" w:fill="FFFFFF"/>
        </w:rPr>
        <w:t>In this case</w:t>
      </w:r>
      <w:r w:rsidR="000B75FC" w:rsidRPr="007F6497">
        <w:rPr>
          <w:rFonts w:cs="Arial"/>
          <w:color w:val="0B0C0C"/>
          <w:szCs w:val="24"/>
          <w:shd w:val="clear" w:color="auto" w:fill="FFFFFF"/>
        </w:rPr>
        <w:t xml:space="preserve">, there were insufficient findings of fact and/or reasons given to explain </w:t>
      </w:r>
      <w:r w:rsidR="00922AB4" w:rsidRPr="007F6497">
        <w:rPr>
          <w:rFonts w:cs="Arial"/>
          <w:color w:val="0B0C0C"/>
          <w:szCs w:val="24"/>
          <w:shd w:val="clear" w:color="auto" w:fill="FFFFFF"/>
        </w:rPr>
        <w:t xml:space="preserve">why admission of this child would be incompatible with the provision of </w:t>
      </w:r>
      <w:r w:rsidR="00BC3F04" w:rsidRPr="007F6497">
        <w:rPr>
          <w:rFonts w:cs="Arial"/>
          <w:color w:val="0B0C0C"/>
          <w:szCs w:val="24"/>
          <w:shd w:val="clear" w:color="auto" w:fill="FFFFFF"/>
        </w:rPr>
        <w:t>eff</w:t>
      </w:r>
      <w:r w:rsidR="00E071BC" w:rsidRPr="007F6497">
        <w:rPr>
          <w:rFonts w:cs="Arial"/>
          <w:color w:val="0B0C0C"/>
          <w:szCs w:val="24"/>
          <w:shd w:val="clear" w:color="auto" w:fill="FFFFFF"/>
        </w:rPr>
        <w:t>icient</w:t>
      </w:r>
      <w:r w:rsidR="00BC3F04" w:rsidRPr="007F6497">
        <w:rPr>
          <w:rFonts w:cs="Arial"/>
          <w:color w:val="0B0C0C"/>
          <w:szCs w:val="24"/>
          <w:shd w:val="clear" w:color="auto" w:fill="FFFFFF"/>
        </w:rPr>
        <w:t xml:space="preserve"> education of others.</w:t>
      </w:r>
    </w:p>
    <w:p w14:paraId="3CE81F88" w14:textId="09CC1E02" w:rsidR="00252548" w:rsidRDefault="00252548" w:rsidP="007C3174">
      <w:pPr>
        <w:pStyle w:val="ListParagraph"/>
        <w:numPr>
          <w:ilvl w:val="0"/>
          <w:numId w:val="2"/>
        </w:numPr>
      </w:pPr>
      <w:r>
        <w:t>In implementing this</w:t>
      </w:r>
      <w:r w:rsidR="00590128">
        <w:t xml:space="preserve"> guidance</w:t>
      </w:r>
      <w:r>
        <w:t>, officers will seek to make phone contact with colleagues in other authorities to discuss any issues or disagreements arising from any aspect of the placement.</w:t>
      </w:r>
      <w:r w:rsidR="004D10D4">
        <w:t xml:space="preserve"> Officers will</w:t>
      </w:r>
      <w:r w:rsidR="00FF44A3">
        <w:t xml:space="preserve"> follow</w:t>
      </w:r>
      <w:r w:rsidR="004D10D4">
        <w:t xml:space="preserve"> statutory requirements as set out in the 201</w:t>
      </w:r>
      <w:r w:rsidR="00176FD2">
        <w:t>5</w:t>
      </w:r>
      <w:r w:rsidR="004D10D4">
        <w:t xml:space="preserve"> SEND </w:t>
      </w:r>
      <w:r w:rsidR="007E444D">
        <w:t>Code of Practice</w:t>
      </w:r>
      <w:r w:rsidR="004D10D4">
        <w:t>, respecting children</w:t>
      </w:r>
      <w:r w:rsidR="00FF44A3">
        <w:t xml:space="preserve">, </w:t>
      </w:r>
      <w:r w:rsidR="004D10D4">
        <w:t>young people’s and parents’ rights and upholding the principle of equitable distribution of funding.</w:t>
      </w:r>
    </w:p>
    <w:p w14:paraId="5DE18216" w14:textId="65F9B45F" w:rsidR="007C3174" w:rsidRPr="007C3174" w:rsidRDefault="007C3174" w:rsidP="007C3174">
      <w:pPr>
        <w:pStyle w:val="Default"/>
        <w:numPr>
          <w:ilvl w:val="0"/>
          <w:numId w:val="2"/>
        </w:numPr>
        <w:rPr>
          <w:i/>
          <w:color w:val="auto"/>
        </w:rPr>
      </w:pPr>
      <w:r w:rsidRPr="007C3174">
        <w:rPr>
          <w:color w:val="auto"/>
        </w:rPr>
        <w:t xml:space="preserve">The </w:t>
      </w:r>
      <w:r w:rsidR="003A16A7">
        <w:rPr>
          <w:color w:val="auto"/>
        </w:rPr>
        <w:t xml:space="preserve">DfE </w:t>
      </w:r>
      <w:r w:rsidRPr="007C3174">
        <w:rPr>
          <w:color w:val="auto"/>
        </w:rPr>
        <w:t xml:space="preserve">High Needs </w:t>
      </w:r>
      <w:r w:rsidR="00540544">
        <w:rPr>
          <w:color w:val="auto"/>
        </w:rPr>
        <w:t xml:space="preserve">Funding </w:t>
      </w:r>
      <w:r w:rsidRPr="007C3174">
        <w:rPr>
          <w:color w:val="auto"/>
        </w:rPr>
        <w:t>Operational Guidance</w:t>
      </w:r>
      <w:r w:rsidR="00611F03">
        <w:rPr>
          <w:color w:val="auto"/>
        </w:rPr>
        <w:t xml:space="preserve"> </w:t>
      </w:r>
      <w:r w:rsidRPr="007C3174">
        <w:rPr>
          <w:color w:val="auto"/>
        </w:rPr>
        <w:t>does encourage a collaborative approach</w:t>
      </w:r>
      <w:r w:rsidR="00540544">
        <w:rPr>
          <w:color w:val="auto"/>
        </w:rPr>
        <w:t>, e.g. when a student attends an FE college in a neighbouring</w:t>
      </w:r>
      <w:r w:rsidR="005B4A84">
        <w:rPr>
          <w:color w:val="auto"/>
        </w:rPr>
        <w:t xml:space="preserve"> LA</w:t>
      </w:r>
      <w:r w:rsidRPr="007C3174">
        <w:rPr>
          <w:color w:val="auto"/>
        </w:rPr>
        <w:t>:</w:t>
      </w:r>
      <w:r w:rsidRPr="007C3174">
        <w:rPr>
          <w:i/>
          <w:color w:val="auto"/>
          <w:sz w:val="23"/>
          <w:szCs w:val="23"/>
        </w:rPr>
        <w:t xml:space="preserve"> </w:t>
      </w:r>
    </w:p>
    <w:p w14:paraId="2F486EBE" w14:textId="77777777" w:rsidR="007C3174" w:rsidRPr="007C3174" w:rsidRDefault="007C3174" w:rsidP="007C3174">
      <w:pPr>
        <w:pStyle w:val="Default"/>
        <w:ind w:left="720"/>
        <w:rPr>
          <w:color w:val="auto"/>
        </w:rPr>
      </w:pPr>
    </w:p>
    <w:p w14:paraId="6970069C" w14:textId="0DBAD39D" w:rsidR="00EA4CBE" w:rsidRDefault="00540544" w:rsidP="00540544">
      <w:pPr>
        <w:pStyle w:val="Default"/>
        <w:ind w:left="1134"/>
      </w:pPr>
      <w:r>
        <w:t>“</w:t>
      </w:r>
      <w:r w:rsidR="00EA4CBE" w:rsidRPr="00EA4CBE">
        <w:t>The commissioning local authority (the local authority in which the student is ordinarily resident) needs to have notified the college directly that the student has high needs and have agreed top-up funding. The provider local authority (if not commissioning the place) and ESFA do not need to be involved in these conversations. However, we would encourage neighbouring local authorities to collaborate on the special provision required for their students. This includes cooperation on associated commissioning arrangements and top-up funding levels.</w:t>
      </w:r>
      <w:r>
        <w:t xml:space="preserve">” </w:t>
      </w:r>
      <w:r w:rsidRPr="007F6497">
        <w:rPr>
          <w:i/>
          <w:iCs/>
        </w:rPr>
        <w:t>(</w:t>
      </w:r>
      <w:r w:rsidR="00F058B1" w:rsidRPr="007F6497">
        <w:rPr>
          <w:i/>
          <w:iCs/>
        </w:rPr>
        <w:t>Section 9.3,6 in the</w:t>
      </w:r>
      <w:r w:rsidR="007F6497" w:rsidRPr="007F6497">
        <w:rPr>
          <w:i/>
          <w:iCs/>
        </w:rPr>
        <w:t xml:space="preserve"> 2024-25 guidance</w:t>
      </w:r>
      <w:r w:rsidRPr="007F6497">
        <w:rPr>
          <w:i/>
          <w:iCs/>
        </w:rPr>
        <w:t>)</w:t>
      </w:r>
    </w:p>
    <w:p w14:paraId="46BD54F7" w14:textId="77777777" w:rsidR="00EA4CBE" w:rsidRDefault="00EA4CBE" w:rsidP="007C3174">
      <w:pPr>
        <w:pStyle w:val="Default"/>
        <w:ind w:left="720"/>
      </w:pPr>
    </w:p>
    <w:p w14:paraId="788490EC" w14:textId="759C86BD" w:rsidR="000F7A97" w:rsidRPr="004C0A77" w:rsidRDefault="004C0A77" w:rsidP="007C3174">
      <w:pPr>
        <w:pStyle w:val="Default"/>
        <w:ind w:left="720"/>
        <w:rPr>
          <w:b/>
          <w:bCs/>
          <w:i/>
          <w:iCs/>
        </w:rPr>
      </w:pPr>
      <w:r>
        <w:t>T</w:t>
      </w:r>
      <w:r w:rsidR="000F7A97">
        <w:t xml:space="preserve">he term ‘provider authority’ is used </w:t>
      </w:r>
      <w:r>
        <w:t xml:space="preserve">in this guidance, as in the DfE operational guidance, </w:t>
      </w:r>
      <w:r w:rsidR="000F7A97">
        <w:t>to identify the LA</w:t>
      </w:r>
      <w:r>
        <w:t xml:space="preserve"> area in which</w:t>
      </w:r>
      <w:r w:rsidR="000F7A97">
        <w:t xml:space="preserve"> the educational establishment is located. ‘</w:t>
      </w:r>
      <w:r>
        <w:t>C</w:t>
      </w:r>
      <w:r w:rsidR="000F7A97">
        <w:t>ommissioning authority’ is the DfE term for what is regarded as the ‘placing LA’ in this document.</w:t>
      </w:r>
      <w:r>
        <w:t xml:space="preserve"> </w:t>
      </w:r>
    </w:p>
    <w:p w14:paraId="2C80EA92" w14:textId="538A379E" w:rsidR="000F7A97" w:rsidRPr="00252548" w:rsidRDefault="000F7A97" w:rsidP="007C3174">
      <w:pPr>
        <w:pStyle w:val="Default"/>
        <w:ind w:left="720"/>
      </w:pPr>
    </w:p>
    <w:p w14:paraId="300E769B" w14:textId="6386C00B" w:rsidR="001767DD" w:rsidRDefault="00590128" w:rsidP="007C3174">
      <w:pPr>
        <w:pStyle w:val="ListParagraph"/>
        <w:numPr>
          <w:ilvl w:val="0"/>
          <w:numId w:val="2"/>
        </w:numPr>
      </w:pPr>
      <w:r>
        <w:t xml:space="preserve">Regional </w:t>
      </w:r>
      <w:r w:rsidR="001767DD">
        <w:t xml:space="preserve">LAs will </w:t>
      </w:r>
      <w:r w:rsidR="001346B5">
        <w:t xml:space="preserve">therefore </w:t>
      </w:r>
      <w:r w:rsidR="001767DD">
        <w:t>share with each other relevant information about placements in special schools</w:t>
      </w:r>
      <w:r>
        <w:t xml:space="preserve">, </w:t>
      </w:r>
      <w:r w:rsidR="001767DD">
        <w:t>mainstream specialist provisions</w:t>
      </w:r>
      <w:r>
        <w:t xml:space="preserve"> and general FE colleges</w:t>
      </w:r>
      <w:r w:rsidR="001767DD">
        <w:t xml:space="preserve">. </w:t>
      </w:r>
      <w:r w:rsidR="001767DD" w:rsidRPr="00BF1B0B">
        <w:t>This could include details of matrix or banding descriptors and admissions guidance. Top up funding levels</w:t>
      </w:r>
      <w:r w:rsidR="00C87DA6">
        <w:t xml:space="preserve"> could </w:t>
      </w:r>
      <w:r w:rsidR="001767DD" w:rsidRPr="00BF1B0B">
        <w:t>also be made available.</w:t>
      </w:r>
    </w:p>
    <w:p w14:paraId="35E8D5C0" w14:textId="713D9646" w:rsidR="001767DD" w:rsidRPr="001346B5" w:rsidRDefault="001346B5" w:rsidP="001346B5">
      <w:r w:rsidRPr="001346B5">
        <w:rPr>
          <w:u w:val="single"/>
        </w:rPr>
        <w:t>Schools</w:t>
      </w:r>
      <w:r>
        <w:rPr>
          <w:u w:val="single"/>
        </w:rPr>
        <w:t xml:space="preserve"> only</w:t>
      </w:r>
    </w:p>
    <w:p w14:paraId="747E001D" w14:textId="108D7F7E" w:rsidR="007E6D1C" w:rsidRPr="007E6D1C" w:rsidRDefault="001767DD" w:rsidP="007C3174">
      <w:pPr>
        <w:pStyle w:val="ListParagraph"/>
        <w:numPr>
          <w:ilvl w:val="0"/>
          <w:numId w:val="2"/>
        </w:numPr>
      </w:pPr>
      <w:r>
        <w:t>If a</w:t>
      </w:r>
      <w:r w:rsidR="001346B5">
        <w:t>n</w:t>
      </w:r>
      <w:r>
        <w:t xml:space="preserve"> LA is consulting with</w:t>
      </w:r>
      <w:r w:rsidR="004D10D4">
        <w:t xml:space="preserve"> any type of </w:t>
      </w:r>
      <w:r>
        <w:t>mainstream or special school</w:t>
      </w:r>
      <w:r w:rsidR="007E6D1C">
        <w:t xml:space="preserve"> (</w:t>
      </w:r>
      <w:r w:rsidR="004D10D4">
        <w:t>including free schools</w:t>
      </w:r>
      <w:r w:rsidR="00FF44A3">
        <w:t xml:space="preserve"> and </w:t>
      </w:r>
      <w:r w:rsidR="004D10D4">
        <w:t>academies</w:t>
      </w:r>
      <w:r w:rsidR="00C87DA6">
        <w:t xml:space="preserve"> where the provider LA manages the admissions</w:t>
      </w:r>
      <w:r w:rsidR="007E6D1C">
        <w:t>)</w:t>
      </w:r>
      <w:r>
        <w:t xml:space="preserve"> in a neighbouring authority for a specialist placement, it will copy in the</w:t>
      </w:r>
      <w:r w:rsidR="004C0A77">
        <w:t xml:space="preserve"> </w:t>
      </w:r>
      <w:r w:rsidR="004C0A77">
        <w:lastRenderedPageBreak/>
        <w:t xml:space="preserve">provider </w:t>
      </w:r>
      <w:r>
        <w:t>LA.</w:t>
      </w:r>
      <w:r w:rsidR="006816AE">
        <w:rPr>
          <w:color w:val="FF0000"/>
        </w:rPr>
        <w:t xml:space="preserve"> </w:t>
      </w:r>
      <w:r w:rsidR="00D90BCA" w:rsidRPr="007E6D1C">
        <w:t>While the SEND Code of Practice requires LA to consult another LA if it proposes to name a maintained schools in that LA</w:t>
      </w:r>
      <w:r w:rsidR="00411F06" w:rsidRPr="007E6D1C">
        <w:t>’</w:t>
      </w:r>
      <w:r w:rsidR="00D90BCA" w:rsidRPr="007E6D1C">
        <w:t xml:space="preserve">s area, there is no requirement to do so in the case of academy schools. </w:t>
      </w:r>
    </w:p>
    <w:p w14:paraId="01B04E2F" w14:textId="77777777" w:rsidR="007E6D1C" w:rsidRPr="007E6D1C" w:rsidRDefault="007E6D1C" w:rsidP="007E6D1C">
      <w:pPr>
        <w:pStyle w:val="ListParagraph"/>
      </w:pPr>
    </w:p>
    <w:p w14:paraId="78E71308" w14:textId="77777777" w:rsidR="007E6D1C" w:rsidRPr="007E6D1C" w:rsidRDefault="00BE1B7B" w:rsidP="007C3174">
      <w:pPr>
        <w:pStyle w:val="ListParagraph"/>
        <w:numPr>
          <w:ilvl w:val="0"/>
          <w:numId w:val="2"/>
        </w:numPr>
      </w:pPr>
      <w:r w:rsidRPr="007E6D1C">
        <w:t>In cases where an academy is named</w:t>
      </w:r>
      <w:r w:rsidR="007E6D1C" w:rsidRPr="007E6D1C">
        <w:t>,</w:t>
      </w:r>
      <w:r w:rsidRPr="007E6D1C">
        <w:t xml:space="preserve"> i</w:t>
      </w:r>
      <w:r w:rsidR="00D87F6F" w:rsidRPr="007E6D1C">
        <w:t xml:space="preserve">ndividual LAs may want to check that </w:t>
      </w:r>
      <w:r w:rsidRPr="007E6D1C">
        <w:t>sharing personal information contained in the draft EHCP with another LA is</w:t>
      </w:r>
      <w:r w:rsidR="007E6D1C" w:rsidRPr="007E6D1C">
        <w:t xml:space="preserve"> covered by the </w:t>
      </w:r>
      <w:r w:rsidR="00D87F6F" w:rsidRPr="007E6D1C">
        <w:t>privacy notice form signed by parents</w:t>
      </w:r>
      <w:r w:rsidR="007E6D1C" w:rsidRPr="007E6D1C">
        <w:t>,</w:t>
      </w:r>
      <w:r w:rsidR="00D87F6F" w:rsidRPr="007E6D1C">
        <w:t xml:space="preserve"> </w:t>
      </w:r>
      <w:r w:rsidR="007E6D1C" w:rsidRPr="007E6D1C">
        <w:t>so that</w:t>
      </w:r>
      <w:r w:rsidR="00D87F6F" w:rsidRPr="007E6D1C">
        <w:t xml:space="preserve"> such sharing of information </w:t>
      </w:r>
      <w:r w:rsidRPr="007E6D1C">
        <w:t>is consistent with</w:t>
      </w:r>
      <w:r w:rsidR="00D87F6F" w:rsidRPr="007E6D1C">
        <w:t xml:space="preserve"> sound GDPR arrangements. (Some LAs also ask for renewal of consent in their annual review form.) </w:t>
      </w:r>
    </w:p>
    <w:p w14:paraId="53D203DB" w14:textId="77777777" w:rsidR="007E6D1C" w:rsidRDefault="007E6D1C" w:rsidP="007E6D1C">
      <w:pPr>
        <w:pStyle w:val="ListParagraph"/>
      </w:pPr>
    </w:p>
    <w:p w14:paraId="5C3EE97E" w14:textId="4D2A37A3" w:rsidR="00AD44DD" w:rsidRDefault="00AD44DD" w:rsidP="007C3174">
      <w:pPr>
        <w:pStyle w:val="ListParagraph"/>
        <w:numPr>
          <w:ilvl w:val="0"/>
          <w:numId w:val="2"/>
        </w:numPr>
      </w:pPr>
      <w:r w:rsidRPr="00A80773">
        <w:t>If approached by a neighbouring local authority about the placement of a child, the</w:t>
      </w:r>
      <w:r w:rsidR="00D87F6F">
        <w:t xml:space="preserve"> school where the LA manages its admissions </w:t>
      </w:r>
      <w:r>
        <w:t xml:space="preserve">will </w:t>
      </w:r>
      <w:r w:rsidR="002A2129">
        <w:t>be asked</w:t>
      </w:r>
      <w:r w:rsidR="00411F06">
        <w:t xml:space="preserve"> </w:t>
      </w:r>
      <w:r w:rsidR="002A2129">
        <w:t xml:space="preserve">to </w:t>
      </w:r>
      <w:r>
        <w:t>check that the</w:t>
      </w:r>
      <w:r w:rsidR="003A16A7">
        <w:t xml:space="preserve"> placing LA </w:t>
      </w:r>
      <w:r>
        <w:t>has included the</w:t>
      </w:r>
      <w:r w:rsidR="004C0A77">
        <w:t xml:space="preserve"> provider </w:t>
      </w:r>
      <w:r>
        <w:t>LA in the circulation of papers, and refer to the</w:t>
      </w:r>
      <w:r w:rsidR="004C0A77">
        <w:t xml:space="preserve"> provider </w:t>
      </w:r>
      <w:r>
        <w:t>LA if that has not happened</w:t>
      </w:r>
      <w:r w:rsidRPr="00A80773">
        <w:t xml:space="preserve">. </w:t>
      </w:r>
      <w:r>
        <w:t>This will be done as far as a</w:t>
      </w:r>
      <w:r w:rsidR="004C0A77">
        <w:t>n</w:t>
      </w:r>
      <w:r>
        <w:t xml:space="preserve"> LA is able to encourage individual</w:t>
      </w:r>
      <w:r w:rsidR="007E6D1C">
        <w:t xml:space="preserve"> schools </w:t>
      </w:r>
      <w:r>
        <w:t>to do</w:t>
      </w:r>
      <w:r w:rsidR="001346B5">
        <w:t>.</w:t>
      </w:r>
    </w:p>
    <w:p w14:paraId="749070DE" w14:textId="77777777" w:rsidR="004D10D4" w:rsidRDefault="004D10D4" w:rsidP="004D10D4">
      <w:pPr>
        <w:pStyle w:val="ListParagraph"/>
      </w:pPr>
    </w:p>
    <w:p w14:paraId="498C5BB3" w14:textId="77777777" w:rsidR="007E6D1C" w:rsidRDefault="001767DD" w:rsidP="007E6D1C">
      <w:pPr>
        <w:pStyle w:val="ListParagraph"/>
        <w:numPr>
          <w:ilvl w:val="0"/>
          <w:numId w:val="2"/>
        </w:numPr>
      </w:pPr>
      <w:r>
        <w:t>The</w:t>
      </w:r>
      <w:r w:rsidR="004C0A77">
        <w:t xml:space="preserve"> provider </w:t>
      </w:r>
      <w:r>
        <w:t>LA will consider the</w:t>
      </w:r>
      <w:r w:rsidR="007E6D1C">
        <w:t xml:space="preserve"> </w:t>
      </w:r>
      <w:r>
        <w:t>referral</w:t>
      </w:r>
      <w:r w:rsidR="00D87F6F">
        <w:t>, perhaps</w:t>
      </w:r>
      <w:r w:rsidR="009939BB">
        <w:t xml:space="preserve"> at its own relevant panel </w:t>
      </w:r>
      <w:r w:rsidR="00740560">
        <w:rPr>
          <w:rStyle w:val="FootnoteReference"/>
        </w:rPr>
        <w:footnoteReference w:id="1"/>
      </w:r>
      <w:r w:rsidR="00D87F6F">
        <w:t>,</w:t>
      </w:r>
      <w:r>
        <w:t xml:space="preserve"> against any admissions/</w:t>
      </w:r>
      <w:r w:rsidR="0059493B">
        <w:t xml:space="preserve"> </w:t>
      </w:r>
      <w:r>
        <w:t>placement guidance</w:t>
      </w:r>
      <w:r w:rsidR="000B55BC">
        <w:t xml:space="preserve"> </w:t>
      </w:r>
      <w:r>
        <w:t>and feedback its recommendation to the LA making the referral and to the</w:t>
      </w:r>
      <w:r w:rsidR="00151180">
        <w:t xml:space="preserve"> school </w:t>
      </w:r>
      <w:r>
        <w:t>approached.</w:t>
      </w:r>
      <w:r w:rsidR="00AD44DD">
        <w:t xml:space="preserve"> </w:t>
      </w:r>
      <w:r w:rsidR="007E6D1C">
        <w:t>When officers are seeking placement in a neighbouring local authority, they will pay due regard to the admissions guidance and the types of special education needs it is set up to meet with regard to its specialist provision.</w:t>
      </w:r>
    </w:p>
    <w:p w14:paraId="1D17A198" w14:textId="77777777" w:rsidR="003A16A7" w:rsidRDefault="003A16A7" w:rsidP="003A16A7">
      <w:pPr>
        <w:pStyle w:val="ListParagraph"/>
      </w:pPr>
    </w:p>
    <w:p w14:paraId="554B3CBA" w14:textId="56B791DB" w:rsidR="003A16A7" w:rsidRDefault="00E9334B" w:rsidP="00FA7C3E">
      <w:pPr>
        <w:pStyle w:val="ListParagraph"/>
        <w:numPr>
          <w:ilvl w:val="0"/>
          <w:numId w:val="2"/>
        </w:numPr>
      </w:pPr>
      <w:r w:rsidRPr="00740560">
        <w:t>With reference to its decision-making arrangements in the previous</w:t>
      </w:r>
      <w:r w:rsidR="00151180">
        <w:t xml:space="preserve"> paragraph</w:t>
      </w:r>
      <w:r w:rsidRPr="00740560">
        <w:t>, t</w:t>
      </w:r>
      <w:r w:rsidR="003A16A7" w:rsidRPr="00740560">
        <w:t>he</w:t>
      </w:r>
      <w:r w:rsidR="004C0A77" w:rsidRPr="00740560">
        <w:t xml:space="preserve"> </w:t>
      </w:r>
      <w:r w:rsidR="004C0A77">
        <w:t xml:space="preserve">provider </w:t>
      </w:r>
      <w:r w:rsidR="003A16A7">
        <w:t>LA will pay regard to the legal test of whether an LA</w:t>
      </w:r>
      <w:r w:rsidR="00151180">
        <w:t xml:space="preserve"> can rebut the parental request</w:t>
      </w:r>
      <w:r w:rsidR="003A16A7">
        <w:t>, i.e. if</w:t>
      </w:r>
      <w:r w:rsidR="00151180">
        <w:t xml:space="preserve"> a placement </w:t>
      </w:r>
      <w:r w:rsidR="003A16A7">
        <w:t xml:space="preserve">in the school is: </w:t>
      </w:r>
    </w:p>
    <w:p w14:paraId="493B1D53" w14:textId="77777777" w:rsidR="00F21ED8" w:rsidRDefault="00F21ED8" w:rsidP="00F21ED8">
      <w:pPr>
        <w:pStyle w:val="ListParagraph"/>
      </w:pPr>
    </w:p>
    <w:p w14:paraId="42659E10" w14:textId="77777777" w:rsidR="003A16A7" w:rsidRDefault="003A16A7" w:rsidP="003A16A7">
      <w:pPr>
        <w:pStyle w:val="ListParagraph"/>
        <w:numPr>
          <w:ilvl w:val="0"/>
          <w:numId w:val="4"/>
        </w:numPr>
        <w:rPr>
          <w:rFonts w:cs="Arial"/>
        </w:rPr>
      </w:pPr>
      <w:r>
        <w:rPr>
          <w:rFonts w:cs="Arial"/>
        </w:rPr>
        <w:t xml:space="preserve">unsuitable to the child’s age, ability, aptitude or SEN, or </w:t>
      </w:r>
    </w:p>
    <w:p w14:paraId="4F6D9444" w14:textId="25C930D2" w:rsidR="003A16A7" w:rsidRDefault="003A16A7" w:rsidP="003A16A7">
      <w:pPr>
        <w:pStyle w:val="ListParagraph"/>
        <w:numPr>
          <w:ilvl w:val="0"/>
          <w:numId w:val="4"/>
        </w:numPr>
      </w:pPr>
      <w:r>
        <w:rPr>
          <w:rFonts w:cs="Arial"/>
        </w:rPr>
        <w:t>incompatible with the provision of the efficient education of others, or the efficient use of resources (s.39(4) CFA 2014)</w:t>
      </w:r>
    </w:p>
    <w:p w14:paraId="1257137F" w14:textId="5225DF62" w:rsidR="00AD44DD" w:rsidRDefault="00AD44DD" w:rsidP="00AD44DD">
      <w:pPr>
        <w:pStyle w:val="ListParagraph"/>
      </w:pPr>
    </w:p>
    <w:p w14:paraId="620C735C" w14:textId="79AAD1EC" w:rsidR="003A16A7" w:rsidRDefault="003A16A7" w:rsidP="00AD44DD">
      <w:pPr>
        <w:pStyle w:val="ListParagraph"/>
        <w:rPr>
          <w:color w:val="FF0000"/>
        </w:rPr>
      </w:pPr>
      <w:r>
        <w:t>The</w:t>
      </w:r>
      <w:r w:rsidR="004C0A77">
        <w:t xml:space="preserve"> provider </w:t>
      </w:r>
      <w:r>
        <w:t>LA will</w:t>
      </w:r>
      <w:r w:rsidRPr="003A16A7">
        <w:t xml:space="preserve"> </w:t>
      </w:r>
      <w:r>
        <w:t>also comply with statutory arrangements and processes, e.g. to meet consultation responses timescales.</w:t>
      </w:r>
      <w:r w:rsidR="00B93973">
        <w:rPr>
          <w:rFonts w:eastAsia="Times New Roman"/>
          <w:color w:val="FF0000"/>
        </w:rPr>
        <w:t xml:space="preserve"> </w:t>
      </w:r>
      <w:r w:rsidR="00B93973" w:rsidRPr="007F6497">
        <w:rPr>
          <w:rFonts w:eastAsia="Times New Roman"/>
        </w:rPr>
        <w:t xml:space="preserve">If the provider LA has </w:t>
      </w:r>
      <w:r w:rsidR="008A1040" w:rsidRPr="007F6497">
        <w:rPr>
          <w:rFonts w:eastAsia="Times New Roman"/>
        </w:rPr>
        <w:t xml:space="preserve">recommended that the </w:t>
      </w:r>
      <w:r w:rsidR="00544E09" w:rsidRPr="007F6497">
        <w:rPr>
          <w:rFonts w:eastAsia="Times New Roman"/>
        </w:rPr>
        <w:t xml:space="preserve">parent’s </w:t>
      </w:r>
      <w:r w:rsidR="008A1040" w:rsidRPr="007F6497">
        <w:rPr>
          <w:rFonts w:eastAsia="Times New Roman"/>
        </w:rPr>
        <w:t xml:space="preserve">preference is not met </w:t>
      </w:r>
      <w:r w:rsidR="00AD405D" w:rsidRPr="007F6497">
        <w:rPr>
          <w:rFonts w:eastAsia="Times New Roman"/>
        </w:rPr>
        <w:t xml:space="preserve">it </w:t>
      </w:r>
      <w:r w:rsidR="0081676D" w:rsidRPr="007F6497">
        <w:rPr>
          <w:rFonts w:eastAsia="Times New Roman"/>
        </w:rPr>
        <w:t>must</w:t>
      </w:r>
      <w:r w:rsidR="00B93973" w:rsidRPr="007F6497">
        <w:rPr>
          <w:rFonts w:eastAsia="Times New Roman"/>
        </w:rPr>
        <w:t xml:space="preserve"> give a written explanation justifying the s39(4) rebuttal of the parental preference</w:t>
      </w:r>
      <w:r w:rsidR="008A1040" w:rsidRPr="007F6497">
        <w:rPr>
          <w:rFonts w:eastAsia="Times New Roman"/>
        </w:rPr>
        <w:t xml:space="preserve"> taking account of </w:t>
      </w:r>
      <w:hyperlink r:id="rId16" w:history="1">
        <w:r w:rsidR="008A1040" w:rsidRPr="008A1040">
          <w:rPr>
            <w:rStyle w:val="Hyperlink"/>
            <w:rFonts w:eastAsia="Times New Roman"/>
          </w:rPr>
          <w:t>relevant case law</w:t>
        </w:r>
      </w:hyperlink>
      <w:r w:rsidR="008A1040">
        <w:rPr>
          <w:rFonts w:eastAsia="Times New Roman"/>
          <w:color w:val="FF0000"/>
        </w:rPr>
        <w:t xml:space="preserve"> </w:t>
      </w:r>
      <w:r w:rsidR="0050406A">
        <w:rPr>
          <w:rFonts w:eastAsia="Times New Roman"/>
          <w:color w:val="FF0000"/>
        </w:rPr>
        <w:t>.</w:t>
      </w:r>
      <w:r w:rsidR="0050406A" w:rsidRPr="007F6497">
        <w:rPr>
          <w:rFonts w:eastAsia="Times New Roman"/>
        </w:rPr>
        <w:t>T</w:t>
      </w:r>
      <w:r w:rsidR="00B93973" w:rsidRPr="007F6497">
        <w:rPr>
          <w:rFonts w:eastAsia="Times New Roman"/>
        </w:rPr>
        <w:t xml:space="preserve">his can be used by the placing LA to feedback to parents and potentially use for </w:t>
      </w:r>
      <w:r w:rsidR="00967DCC">
        <w:rPr>
          <w:rFonts w:eastAsia="Times New Roman"/>
        </w:rPr>
        <w:t>dispute r</w:t>
      </w:r>
      <w:r w:rsidR="0081676D" w:rsidRPr="007F6497">
        <w:rPr>
          <w:rFonts w:eastAsia="Times New Roman"/>
        </w:rPr>
        <w:t>esolution</w:t>
      </w:r>
      <w:r w:rsidR="00B93973" w:rsidRPr="007F6497">
        <w:rPr>
          <w:rFonts w:eastAsia="Times New Roman"/>
        </w:rPr>
        <w:t>.</w:t>
      </w:r>
      <w:r w:rsidR="009839E8" w:rsidRPr="007F6497">
        <w:rPr>
          <w:rFonts w:eastAsia="Times New Roman"/>
        </w:rPr>
        <w:t xml:space="preserve"> </w:t>
      </w:r>
    </w:p>
    <w:p w14:paraId="0DCC0CA8" w14:textId="77777777" w:rsidR="00151180" w:rsidRDefault="00151180" w:rsidP="00AD44DD">
      <w:pPr>
        <w:pStyle w:val="ListParagraph"/>
      </w:pPr>
    </w:p>
    <w:p w14:paraId="63B48B0C" w14:textId="1C0B5239" w:rsidR="009939BB" w:rsidRDefault="009939BB" w:rsidP="009939BB">
      <w:pPr>
        <w:pStyle w:val="ListParagraph"/>
        <w:numPr>
          <w:ilvl w:val="0"/>
          <w:numId w:val="2"/>
        </w:numPr>
        <w:rPr>
          <w:rFonts w:eastAsia="Times New Roman"/>
        </w:rPr>
      </w:pPr>
      <w:r w:rsidRPr="008A316D">
        <w:rPr>
          <w:rFonts w:eastAsia="Times New Roman"/>
        </w:rPr>
        <w:lastRenderedPageBreak/>
        <w:t>A template is attached at the end of this document (appendix 1) which can be used when the ‘no</w:t>
      </w:r>
      <w:r w:rsidR="007E6D1C">
        <w:rPr>
          <w:rFonts w:eastAsia="Times New Roman"/>
        </w:rPr>
        <w:t>’</w:t>
      </w:r>
      <w:r w:rsidR="00151180">
        <w:rPr>
          <w:rFonts w:eastAsia="Times New Roman"/>
        </w:rPr>
        <w:t xml:space="preserve"> recommendation </w:t>
      </w:r>
      <w:r w:rsidRPr="008A316D">
        <w:rPr>
          <w:rFonts w:eastAsia="Times New Roman"/>
        </w:rPr>
        <w:t>is expected to be contentious; it should not be routinely used for all cross-LA border placements</w:t>
      </w:r>
      <w:r w:rsidR="004C2630">
        <w:rPr>
          <w:rFonts w:eastAsia="Times New Roman"/>
        </w:rPr>
        <w:t xml:space="preserve">, and its use </w:t>
      </w:r>
      <w:r w:rsidR="00A45B57">
        <w:rPr>
          <w:rFonts w:eastAsia="Times New Roman"/>
        </w:rPr>
        <w:t>has to</w:t>
      </w:r>
      <w:r w:rsidR="004C2630">
        <w:rPr>
          <w:rFonts w:eastAsia="Times New Roman"/>
        </w:rPr>
        <w:t xml:space="preserve"> be compatible with statutory timescales</w:t>
      </w:r>
      <w:r w:rsidRPr="008A316D">
        <w:rPr>
          <w:rFonts w:eastAsia="Times New Roman"/>
        </w:rPr>
        <w:t>. The template provides a framework to support communications and collaboration between LAs, giving clarity about who is doing/has done what.</w:t>
      </w:r>
    </w:p>
    <w:p w14:paraId="5CA74A5F" w14:textId="77777777" w:rsidR="009939BB" w:rsidRPr="008A316D" w:rsidRDefault="009939BB" w:rsidP="009939BB">
      <w:pPr>
        <w:pStyle w:val="ListParagraph"/>
        <w:rPr>
          <w:rFonts w:eastAsia="Times New Roman"/>
        </w:rPr>
      </w:pPr>
    </w:p>
    <w:p w14:paraId="67A6863A" w14:textId="0E1D88E7" w:rsidR="00540544" w:rsidRDefault="00A47D38" w:rsidP="007C3174">
      <w:pPr>
        <w:pStyle w:val="ListParagraph"/>
        <w:numPr>
          <w:ilvl w:val="0"/>
          <w:numId w:val="2"/>
        </w:numPr>
      </w:pPr>
      <w:r>
        <w:t>T</w:t>
      </w:r>
      <w:r w:rsidR="00AD44DD">
        <w:t>he</w:t>
      </w:r>
      <w:r w:rsidR="001346B5">
        <w:t xml:space="preserve"> placing </w:t>
      </w:r>
      <w:r w:rsidR="00AD44DD">
        <w:t>LA will</w:t>
      </w:r>
      <w:r>
        <w:t xml:space="preserve"> pay due regard to the response </w:t>
      </w:r>
      <w:r w:rsidR="00AD44DD">
        <w:t xml:space="preserve">of the </w:t>
      </w:r>
      <w:r w:rsidR="001346B5">
        <w:t xml:space="preserve">senior local authority officer where the </w:t>
      </w:r>
      <w:r w:rsidR="00AD44DD">
        <w:t>specialist setting</w:t>
      </w:r>
      <w:r w:rsidR="001346B5">
        <w:t xml:space="preserve"> </w:t>
      </w:r>
      <w:r w:rsidR="00676B21">
        <w:t xml:space="preserve">is located and consider </w:t>
      </w:r>
      <w:r w:rsidR="008A1040">
        <w:t xml:space="preserve">whether the representations made would </w:t>
      </w:r>
      <w:r w:rsidR="006C4925">
        <w:t>meet the criteria for refusing the parent’s request established by case law.</w:t>
      </w:r>
      <w:r w:rsidR="00313A32">
        <w:t xml:space="preserve"> </w:t>
      </w:r>
    </w:p>
    <w:p w14:paraId="13A3FBEA" w14:textId="77777777" w:rsidR="00540544" w:rsidRPr="00540544" w:rsidRDefault="00540544" w:rsidP="00540544">
      <w:pPr>
        <w:pStyle w:val="ListParagraph"/>
      </w:pPr>
    </w:p>
    <w:p w14:paraId="3193A28A" w14:textId="518E15A4" w:rsidR="001767DD" w:rsidRDefault="001441D7" w:rsidP="007C3174">
      <w:pPr>
        <w:pStyle w:val="ListParagraph"/>
        <w:numPr>
          <w:ilvl w:val="0"/>
          <w:numId w:val="2"/>
        </w:numPr>
      </w:pPr>
      <w:r>
        <w:t xml:space="preserve">If the matter is referred to </w:t>
      </w:r>
      <w:r w:rsidR="0046396D">
        <w:t>a</w:t>
      </w:r>
      <w:r w:rsidR="00540544" w:rsidRPr="00945BDB">
        <w:t xml:space="preserve"> </w:t>
      </w:r>
      <w:r w:rsidR="005B4A84" w:rsidRPr="00945BDB">
        <w:t>judicial alternative dispute resolution (</w:t>
      </w:r>
      <w:r w:rsidR="00540544" w:rsidRPr="00945BDB">
        <w:t>JADR</w:t>
      </w:r>
      <w:r w:rsidR="009939BB">
        <w:t>)</w:t>
      </w:r>
      <w:r w:rsidR="0058477F">
        <w:t xml:space="preserve"> then the placing authority will</w:t>
      </w:r>
      <w:r w:rsidR="00ED7F37">
        <w:t xml:space="preserve"> use representation from the school and providing Local Autho</w:t>
      </w:r>
      <w:r w:rsidR="0096057F">
        <w:t>rity in the discussions</w:t>
      </w:r>
      <w:r w:rsidR="000B55BC">
        <w:t xml:space="preserve">. </w:t>
      </w:r>
      <w:r w:rsidR="009839E8" w:rsidRPr="0046396D">
        <w:t>The placing LA could make a request for the provider LA officer to attend the JADR.</w:t>
      </w:r>
      <w:r w:rsidR="008921D6">
        <w:t xml:space="preserve"> </w:t>
      </w:r>
      <w:r w:rsidR="00BE52F6">
        <w:t xml:space="preserve">If the </w:t>
      </w:r>
      <w:r w:rsidR="004513A8">
        <w:t>placing LA feels the judge</w:t>
      </w:r>
      <w:r w:rsidR="00C94CC9">
        <w:t xml:space="preserve">’s view is not sufficiently based on </w:t>
      </w:r>
      <w:r w:rsidR="00FF022E">
        <w:t>case law</w:t>
      </w:r>
      <w:r w:rsidR="00151180">
        <w:t>,</w:t>
      </w:r>
      <w:r w:rsidR="00FF022E">
        <w:t xml:space="preserve"> it can consider whether </w:t>
      </w:r>
      <w:r w:rsidR="0058477F">
        <w:t xml:space="preserve">to take the matter to a full tribunal </w:t>
      </w:r>
      <w:r w:rsidR="0096057F">
        <w:t>where relevant witnesses can be called.</w:t>
      </w:r>
    </w:p>
    <w:p w14:paraId="29979609" w14:textId="77777777" w:rsidR="00E44D8A" w:rsidRDefault="00E44D8A" w:rsidP="00F9200A">
      <w:pPr>
        <w:pStyle w:val="ListParagraph"/>
      </w:pPr>
    </w:p>
    <w:p w14:paraId="5589683E" w14:textId="7E1F09B9" w:rsidR="00E44D8A" w:rsidRPr="00057F1C" w:rsidRDefault="00E44D8A" w:rsidP="00E44D8A">
      <w:pPr>
        <w:pStyle w:val="ListParagraph"/>
        <w:numPr>
          <w:ilvl w:val="0"/>
          <w:numId w:val="2"/>
        </w:numPr>
        <w:rPr>
          <w:rFonts w:cs="Arial"/>
        </w:rPr>
      </w:pPr>
      <w:r>
        <w:t xml:space="preserve">If a placing LA agrees not to name a school for reasons </w:t>
      </w:r>
      <w:r w:rsidR="007364EE">
        <w:t>set out in section 39 of the C&amp;F Act 2014</w:t>
      </w:r>
      <w:r w:rsidR="00A45B57">
        <w:t xml:space="preserve">, particularly </w:t>
      </w:r>
      <w:r>
        <w:t>related to its physical capacity safely to admit more pupils,</w:t>
      </w:r>
      <w:r w:rsidR="007E6D1C">
        <w:t xml:space="preserve"> </w:t>
      </w:r>
      <w:r>
        <w:t>then the provider LA will</w:t>
      </w:r>
      <w:r w:rsidR="00151180">
        <w:t xml:space="preserve"> support it </w:t>
      </w:r>
      <w:r>
        <w:t>in any subsequent tribunal appeal</w:t>
      </w:r>
      <w:r w:rsidR="00151180">
        <w:t>.</w:t>
      </w:r>
      <w:r>
        <w:t xml:space="preserve"> </w:t>
      </w:r>
      <w:r>
        <w:rPr>
          <w:rFonts w:cs="Arial"/>
        </w:rPr>
        <w:t xml:space="preserve">This might involve </w:t>
      </w:r>
      <w:r w:rsidR="00A45B57">
        <w:rPr>
          <w:rFonts w:cs="Arial"/>
        </w:rPr>
        <w:t xml:space="preserve">contributing to </w:t>
      </w:r>
      <w:r>
        <w:rPr>
          <w:rFonts w:cs="Arial"/>
        </w:rPr>
        <w:t>a witness statement</w:t>
      </w:r>
      <w:r w:rsidR="007E6D1C">
        <w:rPr>
          <w:rFonts w:cs="Arial"/>
        </w:rPr>
        <w:t xml:space="preserve"> </w:t>
      </w:r>
      <w:r w:rsidR="00A45B57">
        <w:rPr>
          <w:rFonts w:cs="Arial"/>
        </w:rPr>
        <w:t>provided by the school</w:t>
      </w:r>
      <w:r w:rsidR="007E6D1C">
        <w:t xml:space="preserve"> giving </w:t>
      </w:r>
      <w:r w:rsidR="00151180">
        <w:t xml:space="preserve">evidence that an additional placement would </w:t>
      </w:r>
      <w:proofErr w:type="gramStart"/>
      <w:r w:rsidR="00151180">
        <w:t>be</w:t>
      </w:r>
      <w:r w:rsidR="007E6D1C">
        <w:t xml:space="preserve"> </w:t>
      </w:r>
      <w:r w:rsidR="00151180" w:rsidRPr="00057F1C">
        <w:rPr>
          <w:rFonts w:cs="Arial"/>
          <w:i/>
        </w:rPr>
        <w:t>”incompatible</w:t>
      </w:r>
      <w:proofErr w:type="gramEnd"/>
      <w:r w:rsidR="00151180" w:rsidRPr="00057F1C">
        <w:rPr>
          <w:rFonts w:cs="Arial"/>
          <w:i/>
        </w:rPr>
        <w:t xml:space="preserve"> with the provision of the efficient education of others, or the efficient use of resources</w:t>
      </w:r>
      <w:r w:rsidR="00151180" w:rsidRPr="00057F1C">
        <w:rPr>
          <w:rFonts w:cs="Arial"/>
        </w:rPr>
        <w:t>” (s.39(4) CFA 2014).</w:t>
      </w:r>
      <w:r>
        <w:rPr>
          <w:rFonts w:cs="Arial"/>
        </w:rPr>
        <w:t>.</w:t>
      </w:r>
    </w:p>
    <w:p w14:paraId="214E686D" w14:textId="77777777" w:rsidR="0046396D" w:rsidRDefault="0046396D" w:rsidP="0046396D">
      <w:pPr>
        <w:pStyle w:val="ListParagraph"/>
      </w:pPr>
    </w:p>
    <w:p w14:paraId="7ED5CDA3" w14:textId="153F6A05" w:rsidR="0046396D" w:rsidRDefault="00A80773" w:rsidP="007C3174">
      <w:pPr>
        <w:pStyle w:val="ListParagraph"/>
        <w:numPr>
          <w:ilvl w:val="0"/>
          <w:numId w:val="2"/>
        </w:numPr>
      </w:pPr>
      <w:r w:rsidRPr="00A80773">
        <w:t>If the placement is</w:t>
      </w:r>
      <w:r w:rsidR="0046396D">
        <w:t xml:space="preserve"> </w:t>
      </w:r>
      <w:r w:rsidR="00B20E6C">
        <w:t>made</w:t>
      </w:r>
      <w:r w:rsidRPr="00A80773">
        <w:t xml:space="preserve">, the top up payment is </w:t>
      </w:r>
      <w:r w:rsidR="00223254">
        <w:t xml:space="preserve">either </w:t>
      </w:r>
      <w:r w:rsidRPr="00A80773">
        <w:t>made by</w:t>
      </w:r>
      <w:r w:rsidR="001767DD">
        <w:t xml:space="preserve"> the</w:t>
      </w:r>
      <w:r w:rsidR="003A16A7">
        <w:t xml:space="preserve"> placing LA </w:t>
      </w:r>
      <w:r w:rsidRPr="00A80773">
        <w:t>to the school</w:t>
      </w:r>
      <w:r w:rsidR="006A4250">
        <w:t xml:space="preserve"> directly</w:t>
      </w:r>
      <w:r w:rsidR="00223254">
        <w:t xml:space="preserve"> or </w:t>
      </w:r>
      <w:r w:rsidR="006A4250">
        <w:t xml:space="preserve">through </w:t>
      </w:r>
      <w:r w:rsidR="00223254">
        <w:t xml:space="preserve">some other administrative arrangement agreed with </w:t>
      </w:r>
      <w:r w:rsidR="006A4250">
        <w:t>the provider LA</w:t>
      </w:r>
      <w:r w:rsidR="00AC0E8C">
        <w:t>.</w:t>
      </w:r>
      <w:r w:rsidRPr="00A80773">
        <w:t xml:space="preserve"> </w:t>
      </w:r>
      <w:r w:rsidR="00AC0E8C" w:rsidRPr="00A80773">
        <w:t xml:space="preserve">It is </w:t>
      </w:r>
      <w:r w:rsidR="00047263">
        <w:t xml:space="preserve">the normal </w:t>
      </w:r>
      <w:r w:rsidR="00AC0E8C" w:rsidRPr="00A80773">
        <w:t>expect</w:t>
      </w:r>
      <w:r w:rsidR="00757A52">
        <w:t>ation</w:t>
      </w:r>
      <w:r w:rsidR="00AC0E8C" w:rsidRPr="00A80773">
        <w:t xml:space="preserve"> that the top up level will be in line with that set by </w:t>
      </w:r>
      <w:r w:rsidR="00AC0E8C">
        <w:t>the</w:t>
      </w:r>
      <w:r w:rsidR="00252548">
        <w:t xml:space="preserve"> school’s</w:t>
      </w:r>
      <w:r w:rsidR="004C0A77">
        <w:t xml:space="preserve"> provider </w:t>
      </w:r>
      <w:r w:rsidRPr="00A80773">
        <w:t>LA</w:t>
      </w:r>
      <w:r w:rsidR="00AC0E8C">
        <w:t>.</w:t>
      </w:r>
    </w:p>
    <w:p w14:paraId="6B3EEA3C" w14:textId="77777777" w:rsidR="0046396D" w:rsidRDefault="0046396D" w:rsidP="0046396D">
      <w:pPr>
        <w:pStyle w:val="ListParagraph"/>
      </w:pPr>
    </w:p>
    <w:p w14:paraId="614006B1" w14:textId="686D360A" w:rsidR="0046396D" w:rsidRDefault="0046396D" w:rsidP="0046396D">
      <w:pPr>
        <w:pStyle w:val="ListParagraph"/>
        <w:numPr>
          <w:ilvl w:val="0"/>
          <w:numId w:val="2"/>
        </w:numPr>
      </w:pPr>
      <w:r>
        <w:t>Where a provider local authority uses an average top up level for all placements in a specialist setting, rather than a banding system or level calculated individually for each child, there could be discussion between the school and placing LA about the appropriate top up level for an individual child</w:t>
      </w:r>
      <w:r w:rsidR="00967DCC">
        <w:t xml:space="preserve"> or young person</w:t>
      </w:r>
      <w:r>
        <w:t xml:space="preserve"> whose needs might be different from the ‘average’ for that type of setting, either lower or higher. </w:t>
      </w:r>
    </w:p>
    <w:p w14:paraId="72436846" w14:textId="77777777" w:rsidR="0046396D" w:rsidRDefault="0046396D" w:rsidP="0046396D">
      <w:pPr>
        <w:pStyle w:val="ListParagraph"/>
      </w:pPr>
    </w:p>
    <w:p w14:paraId="37A9B941" w14:textId="24D619DB" w:rsidR="00AC0E8C" w:rsidRDefault="00757A52" w:rsidP="007C3174">
      <w:pPr>
        <w:pStyle w:val="ListParagraph"/>
        <w:numPr>
          <w:ilvl w:val="0"/>
          <w:numId w:val="2"/>
        </w:numPr>
      </w:pPr>
      <w:r>
        <w:t xml:space="preserve"> In some ins</w:t>
      </w:r>
      <w:r w:rsidR="00CD2ED9">
        <w:t>tance</w:t>
      </w:r>
      <w:r w:rsidR="002A100A">
        <w:t>s</w:t>
      </w:r>
      <w:r w:rsidR="0046396D">
        <w:t>,</w:t>
      </w:r>
      <w:r w:rsidR="00CD2ED9">
        <w:t xml:space="preserve"> it may be necessary to consider a higher top up</w:t>
      </w:r>
      <w:r w:rsidR="0046396D">
        <w:t xml:space="preserve"> because </w:t>
      </w:r>
      <w:r w:rsidR="00CD2ED9">
        <w:t>the child</w:t>
      </w:r>
      <w:r w:rsidR="00967DCC">
        <w:t xml:space="preserve"> or young person</w:t>
      </w:r>
      <w:r w:rsidR="00CD2ED9">
        <w:t xml:space="preserve"> may need </w:t>
      </w:r>
      <w:r w:rsidR="00603F7C">
        <w:t xml:space="preserve">to receive a higher level of support than normally expected </w:t>
      </w:r>
      <w:r w:rsidR="00653AE9">
        <w:t xml:space="preserve">to prevent </w:t>
      </w:r>
      <w:r w:rsidR="00223254">
        <w:t xml:space="preserve">their </w:t>
      </w:r>
      <w:r w:rsidR="00653AE9">
        <w:t xml:space="preserve">admission being incompatible with the </w:t>
      </w:r>
      <w:r w:rsidR="00231959">
        <w:t>provision of efficient education to others.</w:t>
      </w:r>
      <w:r w:rsidR="00603F7C">
        <w:t xml:space="preserve"> </w:t>
      </w:r>
    </w:p>
    <w:p w14:paraId="49C48972" w14:textId="546081A1" w:rsidR="00AC0E8C" w:rsidRDefault="001346B5" w:rsidP="00EF2CE2">
      <w:r w:rsidRPr="004E1EDC">
        <w:rPr>
          <w:u w:val="single"/>
        </w:rPr>
        <w:lastRenderedPageBreak/>
        <w:t>Schools and FE colleges</w:t>
      </w:r>
    </w:p>
    <w:p w14:paraId="1BEF8DA3" w14:textId="7823DB4D" w:rsidR="001346B5" w:rsidRDefault="001346B5" w:rsidP="001346B5">
      <w:pPr>
        <w:pStyle w:val="ListParagraph"/>
        <w:numPr>
          <w:ilvl w:val="0"/>
          <w:numId w:val="2"/>
        </w:numPr>
      </w:pPr>
      <w:r w:rsidRPr="001346B5">
        <w:t>There is not the expectation that an OLA</w:t>
      </w:r>
      <w:r>
        <w:t xml:space="preserve"> child or young person </w:t>
      </w:r>
      <w:r w:rsidRPr="001346B5">
        <w:t>will be automatically identified in the highest band by the receiving school</w:t>
      </w:r>
      <w:r>
        <w:t xml:space="preserve"> or college</w:t>
      </w:r>
      <w:r w:rsidR="002A2129">
        <w:t>. The</w:t>
      </w:r>
      <w:r w:rsidR="003A16A7">
        <w:t xml:space="preserve"> placing </w:t>
      </w:r>
      <w:r w:rsidRPr="001346B5">
        <w:t>LA will negotiate with the school</w:t>
      </w:r>
      <w:r w:rsidR="002A2129">
        <w:t xml:space="preserve"> or college</w:t>
      </w:r>
      <w:r w:rsidRPr="001346B5">
        <w:t xml:space="preserve"> with reference to any banding descriptors developed by the</w:t>
      </w:r>
      <w:r w:rsidR="004C0A77">
        <w:t xml:space="preserve"> provider </w:t>
      </w:r>
      <w:r w:rsidRPr="001346B5">
        <w:t>LA.</w:t>
      </w:r>
    </w:p>
    <w:p w14:paraId="1EF7C912" w14:textId="77777777" w:rsidR="006A4250" w:rsidRDefault="006A4250" w:rsidP="006A4250">
      <w:pPr>
        <w:pStyle w:val="ListParagraph"/>
      </w:pPr>
    </w:p>
    <w:p w14:paraId="13D9B96D" w14:textId="53FDC46A" w:rsidR="0059493B" w:rsidRDefault="007E445D" w:rsidP="007C3174">
      <w:pPr>
        <w:pStyle w:val="ListParagraph"/>
        <w:numPr>
          <w:ilvl w:val="0"/>
          <w:numId w:val="2"/>
        </w:numPr>
      </w:pPr>
      <w:r w:rsidRPr="004D10D4">
        <w:t>The</w:t>
      </w:r>
      <w:r>
        <w:t xml:space="preserve"> placing </w:t>
      </w:r>
      <w:r w:rsidRPr="004D10D4">
        <w:t xml:space="preserve">LA will make arrangements for and fund any individual therapy </w:t>
      </w:r>
      <w:r>
        <w:t>(</w:t>
      </w:r>
      <w:r w:rsidRPr="004D10D4">
        <w:t>normally provided by NHS</w:t>
      </w:r>
      <w:r>
        <w:t>, through a different</w:t>
      </w:r>
      <w:r w:rsidR="008921D6">
        <w:t xml:space="preserve"> ICB</w:t>
      </w:r>
      <w:r>
        <w:t>,</w:t>
      </w:r>
      <w:r w:rsidRPr="004D10D4">
        <w:t xml:space="preserve"> or additionally commissioned) and/or specialist teacher input required for a child.</w:t>
      </w:r>
      <w:r>
        <w:t xml:space="preserve"> </w:t>
      </w:r>
      <w:r w:rsidR="00AC0E8C" w:rsidRPr="004D10D4">
        <w:t xml:space="preserve">The </w:t>
      </w:r>
      <w:r w:rsidR="004D10D4">
        <w:t>setting m</w:t>
      </w:r>
      <w:r w:rsidR="00AD44DD">
        <w:t>ay</w:t>
      </w:r>
      <w:r w:rsidR="00AC0E8C" w:rsidRPr="004D10D4">
        <w:t xml:space="preserve"> ask for confirmation of that in writing as part of </w:t>
      </w:r>
      <w:r w:rsidR="0059493B" w:rsidRPr="004D10D4">
        <w:t xml:space="preserve">its response to the consultation on placement. </w:t>
      </w:r>
    </w:p>
    <w:p w14:paraId="22AB4A5D" w14:textId="77777777" w:rsidR="004D10D4" w:rsidRDefault="004D10D4" w:rsidP="004D10D4">
      <w:pPr>
        <w:pStyle w:val="ListParagraph"/>
      </w:pPr>
    </w:p>
    <w:p w14:paraId="0E9997B8" w14:textId="2A805FD4" w:rsidR="005C7994" w:rsidRDefault="006A4250" w:rsidP="00E062B4">
      <w:pPr>
        <w:pStyle w:val="ListParagraph"/>
        <w:numPr>
          <w:ilvl w:val="0"/>
          <w:numId w:val="2"/>
        </w:numPr>
      </w:pPr>
      <w:r w:rsidRPr="006A4250">
        <w:t>Responsibility for additional place funding rests with the provider LA</w:t>
      </w:r>
      <w:r>
        <w:t>,</w:t>
      </w:r>
      <w:r w:rsidRPr="006A4250">
        <w:t xml:space="preserve"> should they deem that additional place funding is required</w:t>
      </w:r>
      <w:r w:rsidR="001F1B14">
        <w:t>, up to the beginning of the next financial year for that type of institution</w:t>
      </w:r>
      <w:r w:rsidRPr="006A4250">
        <w:t>.</w:t>
      </w:r>
      <w:r>
        <w:t xml:space="preserve"> </w:t>
      </w:r>
      <w:r w:rsidR="00E062B4">
        <w:t xml:space="preserve">For the first year </w:t>
      </w:r>
      <w:r w:rsidR="00150CA1">
        <w:t>t</w:t>
      </w:r>
      <w:r w:rsidR="003F36A9">
        <w:t>his would</w:t>
      </w:r>
      <w:r w:rsidR="005C7994">
        <w:t xml:space="preserve"> not necessarily </w:t>
      </w:r>
      <w:r w:rsidR="003F36A9">
        <w:t xml:space="preserve">be the full £10,000 to a special school </w:t>
      </w:r>
      <w:r w:rsidR="00252548">
        <w:t xml:space="preserve">or </w:t>
      </w:r>
      <w:r w:rsidR="00AD44DD">
        <w:t>£6,000 to a</w:t>
      </w:r>
      <w:r w:rsidR="003F36A9">
        <w:t xml:space="preserve"> mainstream specialist setting or</w:t>
      </w:r>
      <w:r w:rsidR="00AD44DD">
        <w:t xml:space="preserve"> FE </w:t>
      </w:r>
      <w:r w:rsidR="00252548">
        <w:t>college</w:t>
      </w:r>
      <w:r w:rsidR="001B7ED9">
        <w:t>; the provider LA and school could negotiate an agreed amount of marginal funding in line with the additional costs of that placement</w:t>
      </w:r>
      <w:r w:rsidR="001B7ED9" w:rsidRPr="00A80773">
        <w:t>.</w:t>
      </w:r>
      <w:r w:rsidR="001B7ED9">
        <w:t xml:space="preserve"> (</w:t>
      </w:r>
      <w:r w:rsidR="005C7994">
        <w:t>Some LAs have an agreement with their special schools about place funding over the agreed number, e.g. in one LA the additional £10,000 place funding applies when numbers go 3% over the agreed number, or in another LA it applies when more than 6 places higher.</w:t>
      </w:r>
      <w:r w:rsidR="001B7ED9">
        <w:t>)</w:t>
      </w:r>
    </w:p>
    <w:p w14:paraId="650DF802" w14:textId="77777777" w:rsidR="001B7ED9" w:rsidRDefault="001B7ED9" w:rsidP="001B7ED9">
      <w:pPr>
        <w:pStyle w:val="ListParagraph"/>
      </w:pPr>
    </w:p>
    <w:p w14:paraId="70F67306" w14:textId="6994277F" w:rsidR="007E445D" w:rsidRPr="00FF365E" w:rsidRDefault="001B7ED9" w:rsidP="007E445D">
      <w:pPr>
        <w:pStyle w:val="ListParagraph"/>
        <w:numPr>
          <w:ilvl w:val="0"/>
          <w:numId w:val="2"/>
        </w:numPr>
      </w:pPr>
      <w:r w:rsidRPr="00F718BC">
        <w:t>The</w:t>
      </w:r>
      <w:r>
        <w:t xml:space="preserve"> provider </w:t>
      </w:r>
      <w:r w:rsidRPr="00F718BC">
        <w:t>LA would</w:t>
      </w:r>
      <w:r w:rsidR="003751F7">
        <w:t xml:space="preserve"> receive funding </w:t>
      </w:r>
      <w:r>
        <w:t>in subsequent years for this placement above agreed number</w:t>
      </w:r>
      <w:r w:rsidRPr="00F718BC">
        <w:t xml:space="preserve"> through the </w:t>
      </w:r>
      <w:r w:rsidR="005B4A84">
        <w:t xml:space="preserve">net </w:t>
      </w:r>
      <w:r w:rsidRPr="00F718BC">
        <w:t>import/export adjustment to its</w:t>
      </w:r>
      <w:r>
        <w:t xml:space="preserve"> high needs block </w:t>
      </w:r>
      <w:r w:rsidRPr="00F718BC">
        <w:t>allocation</w:t>
      </w:r>
      <w:r>
        <w:t>,</w:t>
      </w:r>
      <w:r w:rsidRPr="00F718BC">
        <w:t xml:space="preserve"> which operates on a lagged basis.</w:t>
      </w:r>
      <w:r w:rsidRPr="00F718BC">
        <w:rPr>
          <w:i/>
          <w:iCs/>
        </w:rPr>
        <w:t xml:space="preserve"> </w:t>
      </w:r>
      <w:r w:rsidRPr="00F718BC">
        <w:t xml:space="preserve"> </w:t>
      </w:r>
      <w:r>
        <w:t xml:space="preserve">It </w:t>
      </w:r>
      <w:r w:rsidR="005D7303" w:rsidRPr="005D7303">
        <w:t xml:space="preserve">should </w:t>
      </w:r>
      <w:r>
        <w:t xml:space="preserve">also </w:t>
      </w:r>
      <w:r w:rsidR="005D7303" w:rsidRPr="005D7303">
        <w:t>be included in the place</w:t>
      </w:r>
      <w:r>
        <w:t xml:space="preserve"> number planning process for the following academic year, as </w:t>
      </w:r>
      <w:r w:rsidR="005D7303" w:rsidRPr="005D7303">
        <w:t>set out in the High Needs Funding Operational Guidance issued by the DfE each year</w:t>
      </w:r>
      <w:r w:rsidR="005D7303">
        <w:t xml:space="preserve">. </w:t>
      </w:r>
      <w:r w:rsidR="00FD2915">
        <w:t xml:space="preserve">Please refer to most recent </w:t>
      </w:r>
      <w:hyperlink r:id="rId17" w:history="1">
        <w:r w:rsidR="00FD2915" w:rsidRPr="00FF365E">
          <w:rPr>
            <w:rStyle w:val="Hyperlink"/>
            <w:color w:val="C0504D" w:themeColor="accent2"/>
          </w:rPr>
          <w:t>High needs place change process: 2025 to 2026 academic year - GOV.UK</w:t>
        </w:r>
      </w:hyperlink>
    </w:p>
    <w:p w14:paraId="1FA00310" w14:textId="77777777" w:rsidR="003F36A9" w:rsidRDefault="003F36A9" w:rsidP="003F36A9">
      <w:pPr>
        <w:pStyle w:val="ListParagraph"/>
      </w:pPr>
    </w:p>
    <w:p w14:paraId="5D50E636" w14:textId="33FB4814" w:rsidR="002A2129" w:rsidRDefault="0059493B" w:rsidP="002A2129">
      <w:pPr>
        <w:pStyle w:val="ListParagraph"/>
        <w:numPr>
          <w:ilvl w:val="0"/>
          <w:numId w:val="2"/>
        </w:numPr>
      </w:pPr>
      <w:r>
        <w:t>The</w:t>
      </w:r>
      <w:r w:rsidR="004C0A77">
        <w:t xml:space="preserve"> provider </w:t>
      </w:r>
      <w:r>
        <w:t xml:space="preserve">LA will </w:t>
      </w:r>
      <w:r w:rsidR="003F36A9">
        <w:t>ensure that the commissioned place number set each year takes account of the latest information and demand from other LAs as well as from its own area</w:t>
      </w:r>
      <w:r w:rsidR="0013016F">
        <w:t>. This will include taking account of the physical capacity of establishments to provide suitable and efficient education.</w:t>
      </w:r>
      <w:r w:rsidR="003F36A9">
        <w:t xml:space="preserve"> </w:t>
      </w:r>
    </w:p>
    <w:p w14:paraId="270599BA" w14:textId="77777777" w:rsidR="00AC0E8C" w:rsidRDefault="00AC0E8C" w:rsidP="00AC0E8C">
      <w:pPr>
        <w:pStyle w:val="ListParagraph"/>
      </w:pPr>
    </w:p>
    <w:p w14:paraId="1CE73D54" w14:textId="4CE34B5F" w:rsidR="00A80773" w:rsidRPr="00F058B1" w:rsidRDefault="00A80773" w:rsidP="007C3174">
      <w:pPr>
        <w:pStyle w:val="ListParagraph"/>
        <w:numPr>
          <w:ilvl w:val="0"/>
          <w:numId w:val="2"/>
        </w:numPr>
      </w:pPr>
      <w:r w:rsidRPr="00F058B1">
        <w:t>T</w:t>
      </w:r>
      <w:r w:rsidR="00AC0E8C" w:rsidRPr="00F058B1">
        <w:t xml:space="preserve">he </w:t>
      </w:r>
      <w:r w:rsidR="00AD44DD" w:rsidRPr="00F058B1">
        <w:t>setting</w:t>
      </w:r>
      <w:r w:rsidR="00AC0E8C" w:rsidRPr="00F058B1">
        <w:t xml:space="preserve"> will </w:t>
      </w:r>
      <w:r w:rsidRPr="00F058B1">
        <w:t>advise</w:t>
      </w:r>
      <w:r w:rsidR="00AC0E8C" w:rsidRPr="00F058B1">
        <w:t xml:space="preserve"> the</w:t>
      </w:r>
      <w:r w:rsidR="004C0A77" w:rsidRPr="00F058B1">
        <w:t xml:space="preserve"> provider </w:t>
      </w:r>
      <w:r w:rsidR="00AC0E8C" w:rsidRPr="00F058B1">
        <w:t xml:space="preserve">LA </w:t>
      </w:r>
      <w:r w:rsidRPr="00F058B1">
        <w:t>of other local authority children in attendance and</w:t>
      </w:r>
      <w:r w:rsidR="00F058B1" w:rsidRPr="00F058B1">
        <w:t xml:space="preserve"> share </w:t>
      </w:r>
      <w:r w:rsidRPr="00F058B1">
        <w:t>information about any potential leavers or joiners, including those on an assessment placement.</w:t>
      </w:r>
      <w:r w:rsidR="00252548" w:rsidRPr="00F058B1">
        <w:t xml:space="preserve"> Officers will follow each other LA’s ‘</w:t>
      </w:r>
      <w:r w:rsidR="002B7DCC" w:rsidRPr="00F058B1">
        <w:t>C</w:t>
      </w:r>
      <w:r w:rsidR="00252548" w:rsidRPr="00F058B1">
        <w:t>hild missing in education’ policy.</w:t>
      </w:r>
    </w:p>
    <w:p w14:paraId="6E28814D" w14:textId="77777777" w:rsidR="00176FD2" w:rsidRDefault="00176FD2" w:rsidP="00176FD2">
      <w:pPr>
        <w:pStyle w:val="ListParagraph"/>
      </w:pPr>
    </w:p>
    <w:p w14:paraId="58493957" w14:textId="0D981208" w:rsidR="00F21ED8" w:rsidRDefault="00176FD2" w:rsidP="00E53708">
      <w:pPr>
        <w:pStyle w:val="ListParagraph"/>
        <w:numPr>
          <w:ilvl w:val="0"/>
          <w:numId w:val="2"/>
        </w:numPr>
      </w:pPr>
      <w:r>
        <w:t>When discussing placements across LA boundaries,</w:t>
      </w:r>
      <w:r w:rsidR="00FF6891">
        <w:t xml:space="preserve"> particularly when they are complex or negotiations are stuck,</w:t>
      </w:r>
      <w:r>
        <w:t xml:space="preserve"> LA officers will refer to a list of current </w:t>
      </w:r>
      <w:r>
        <w:lastRenderedPageBreak/>
        <w:t>contact officers maintained by the</w:t>
      </w:r>
      <w:r w:rsidR="00ED5BE7">
        <w:t xml:space="preserve"> region </w:t>
      </w:r>
      <w:r>
        <w:t>(</w:t>
      </w:r>
      <w:r w:rsidR="002A24FF">
        <w:t xml:space="preserve">usually </w:t>
      </w:r>
      <w:r>
        <w:t xml:space="preserve">one person per LA in the interests of consistency of communication and approach). </w:t>
      </w:r>
      <w:r w:rsidR="00967DCC">
        <w:t>The list is attached as appendix 2.</w:t>
      </w:r>
    </w:p>
    <w:p w14:paraId="1213BF27" w14:textId="77777777" w:rsidR="00967DCC" w:rsidRDefault="00967DCC" w:rsidP="00967DCC">
      <w:pPr>
        <w:pStyle w:val="ListParagraph"/>
      </w:pPr>
    </w:p>
    <w:p w14:paraId="0AF6E090" w14:textId="77777777" w:rsidR="001E1D2E" w:rsidRDefault="001E1D2E" w:rsidP="001E1D2E">
      <w:pPr>
        <w:pStyle w:val="ListParagraph"/>
      </w:pPr>
    </w:p>
    <w:p w14:paraId="07272B32" w14:textId="77777777" w:rsidR="00BB6647" w:rsidRDefault="00BB6647" w:rsidP="001E1D2E">
      <w:pPr>
        <w:pStyle w:val="ListParagraph"/>
        <w:jc w:val="right"/>
        <w:rPr>
          <w:b/>
          <w:bCs/>
        </w:rPr>
      </w:pPr>
    </w:p>
    <w:p w14:paraId="0BDF90AC" w14:textId="77777777" w:rsidR="00BB6647" w:rsidRDefault="00BB6647" w:rsidP="001E1D2E">
      <w:pPr>
        <w:pStyle w:val="ListParagraph"/>
        <w:jc w:val="right"/>
        <w:rPr>
          <w:b/>
          <w:bCs/>
        </w:rPr>
      </w:pPr>
    </w:p>
    <w:p w14:paraId="7C9B03D0" w14:textId="77777777" w:rsidR="00BB6647" w:rsidRDefault="00BB6647" w:rsidP="001E1D2E">
      <w:pPr>
        <w:pStyle w:val="ListParagraph"/>
        <w:jc w:val="right"/>
        <w:rPr>
          <w:b/>
          <w:bCs/>
        </w:rPr>
      </w:pPr>
    </w:p>
    <w:p w14:paraId="0D0E24BF" w14:textId="77777777" w:rsidR="00BB6647" w:rsidRDefault="00BB6647" w:rsidP="001E1D2E">
      <w:pPr>
        <w:pStyle w:val="ListParagraph"/>
        <w:jc w:val="right"/>
        <w:rPr>
          <w:b/>
          <w:bCs/>
        </w:rPr>
      </w:pPr>
    </w:p>
    <w:p w14:paraId="281F1D0E" w14:textId="77777777" w:rsidR="00BB6647" w:rsidRDefault="00BB6647" w:rsidP="001E1D2E">
      <w:pPr>
        <w:pStyle w:val="ListParagraph"/>
        <w:jc w:val="right"/>
        <w:rPr>
          <w:b/>
          <w:bCs/>
        </w:rPr>
      </w:pPr>
    </w:p>
    <w:p w14:paraId="3EFFF735" w14:textId="77777777" w:rsidR="00BB6647" w:rsidRDefault="00BB6647" w:rsidP="001E1D2E">
      <w:pPr>
        <w:pStyle w:val="ListParagraph"/>
        <w:jc w:val="right"/>
        <w:rPr>
          <w:b/>
          <w:bCs/>
        </w:rPr>
      </w:pPr>
    </w:p>
    <w:p w14:paraId="4067A027" w14:textId="77777777" w:rsidR="00BB6647" w:rsidRDefault="00BB6647" w:rsidP="001E1D2E">
      <w:pPr>
        <w:pStyle w:val="ListParagraph"/>
        <w:jc w:val="right"/>
        <w:rPr>
          <w:b/>
          <w:bCs/>
        </w:rPr>
      </w:pPr>
    </w:p>
    <w:p w14:paraId="26848DA5" w14:textId="77777777" w:rsidR="00BB6647" w:rsidRDefault="00BB6647" w:rsidP="001E1D2E">
      <w:pPr>
        <w:pStyle w:val="ListParagraph"/>
        <w:jc w:val="right"/>
        <w:rPr>
          <w:b/>
          <w:bCs/>
        </w:rPr>
      </w:pPr>
    </w:p>
    <w:p w14:paraId="5861AB3E" w14:textId="77777777" w:rsidR="00BB6647" w:rsidRDefault="00BB6647" w:rsidP="001E1D2E">
      <w:pPr>
        <w:pStyle w:val="ListParagraph"/>
        <w:jc w:val="right"/>
        <w:rPr>
          <w:b/>
          <w:bCs/>
        </w:rPr>
      </w:pPr>
    </w:p>
    <w:p w14:paraId="50D393CD" w14:textId="77777777" w:rsidR="00BB6647" w:rsidRDefault="00BB6647" w:rsidP="001E1D2E">
      <w:pPr>
        <w:pStyle w:val="ListParagraph"/>
        <w:jc w:val="right"/>
        <w:rPr>
          <w:b/>
          <w:bCs/>
        </w:rPr>
      </w:pPr>
    </w:p>
    <w:p w14:paraId="48F07BB7" w14:textId="77777777" w:rsidR="00BB6647" w:rsidRDefault="00BB6647" w:rsidP="001E1D2E">
      <w:pPr>
        <w:pStyle w:val="ListParagraph"/>
        <w:jc w:val="right"/>
        <w:rPr>
          <w:b/>
          <w:bCs/>
        </w:rPr>
      </w:pPr>
    </w:p>
    <w:p w14:paraId="09A106BD" w14:textId="77777777" w:rsidR="00BB6647" w:rsidRDefault="00BB6647" w:rsidP="001E1D2E">
      <w:pPr>
        <w:pStyle w:val="ListParagraph"/>
        <w:jc w:val="right"/>
        <w:rPr>
          <w:b/>
          <w:bCs/>
        </w:rPr>
      </w:pPr>
    </w:p>
    <w:p w14:paraId="7A62B843" w14:textId="77777777" w:rsidR="00BB6647" w:rsidRDefault="00BB6647" w:rsidP="001E1D2E">
      <w:pPr>
        <w:pStyle w:val="ListParagraph"/>
        <w:jc w:val="right"/>
        <w:rPr>
          <w:b/>
          <w:bCs/>
        </w:rPr>
      </w:pPr>
    </w:p>
    <w:p w14:paraId="208D3DD1" w14:textId="77777777" w:rsidR="00BB6647" w:rsidRDefault="00BB6647" w:rsidP="001E1D2E">
      <w:pPr>
        <w:pStyle w:val="ListParagraph"/>
        <w:jc w:val="right"/>
        <w:rPr>
          <w:b/>
          <w:bCs/>
        </w:rPr>
      </w:pPr>
    </w:p>
    <w:p w14:paraId="5DE23344" w14:textId="77777777" w:rsidR="00BB6647" w:rsidRDefault="00BB6647" w:rsidP="001E1D2E">
      <w:pPr>
        <w:pStyle w:val="ListParagraph"/>
        <w:jc w:val="right"/>
        <w:rPr>
          <w:b/>
          <w:bCs/>
        </w:rPr>
      </w:pPr>
    </w:p>
    <w:p w14:paraId="229363C8" w14:textId="77777777" w:rsidR="00BB6647" w:rsidRDefault="00BB6647" w:rsidP="001E1D2E">
      <w:pPr>
        <w:pStyle w:val="ListParagraph"/>
        <w:jc w:val="right"/>
        <w:rPr>
          <w:b/>
          <w:bCs/>
        </w:rPr>
      </w:pPr>
    </w:p>
    <w:p w14:paraId="2317F372" w14:textId="77777777" w:rsidR="00BB6647" w:rsidRDefault="00BB6647" w:rsidP="001E1D2E">
      <w:pPr>
        <w:pStyle w:val="ListParagraph"/>
        <w:jc w:val="right"/>
        <w:rPr>
          <w:b/>
          <w:bCs/>
        </w:rPr>
      </w:pPr>
    </w:p>
    <w:p w14:paraId="6DF8E08D" w14:textId="77777777" w:rsidR="00BB6647" w:rsidRDefault="00BB6647" w:rsidP="001E1D2E">
      <w:pPr>
        <w:pStyle w:val="ListParagraph"/>
        <w:jc w:val="right"/>
        <w:rPr>
          <w:b/>
          <w:bCs/>
        </w:rPr>
      </w:pPr>
    </w:p>
    <w:p w14:paraId="3D2864A8" w14:textId="77777777" w:rsidR="00BB6647" w:rsidRDefault="00BB6647" w:rsidP="001E1D2E">
      <w:pPr>
        <w:pStyle w:val="ListParagraph"/>
        <w:jc w:val="right"/>
        <w:rPr>
          <w:b/>
          <w:bCs/>
        </w:rPr>
      </w:pPr>
    </w:p>
    <w:p w14:paraId="1138D9FF" w14:textId="77777777" w:rsidR="00BB6647" w:rsidRDefault="00BB6647" w:rsidP="001E1D2E">
      <w:pPr>
        <w:pStyle w:val="ListParagraph"/>
        <w:jc w:val="right"/>
        <w:rPr>
          <w:b/>
          <w:bCs/>
        </w:rPr>
      </w:pPr>
    </w:p>
    <w:p w14:paraId="6EFE5A65" w14:textId="77777777" w:rsidR="00BB6647" w:rsidRDefault="00BB6647" w:rsidP="001E1D2E">
      <w:pPr>
        <w:pStyle w:val="ListParagraph"/>
        <w:jc w:val="right"/>
        <w:rPr>
          <w:b/>
          <w:bCs/>
        </w:rPr>
      </w:pPr>
    </w:p>
    <w:p w14:paraId="3549AA8F" w14:textId="77777777" w:rsidR="00BB6647" w:rsidRDefault="00BB6647" w:rsidP="001E1D2E">
      <w:pPr>
        <w:pStyle w:val="ListParagraph"/>
        <w:jc w:val="right"/>
        <w:rPr>
          <w:b/>
          <w:bCs/>
        </w:rPr>
      </w:pPr>
    </w:p>
    <w:p w14:paraId="1D86F04A" w14:textId="77777777" w:rsidR="00BB6647" w:rsidRDefault="00BB6647" w:rsidP="001E1D2E">
      <w:pPr>
        <w:pStyle w:val="ListParagraph"/>
        <w:jc w:val="right"/>
        <w:rPr>
          <w:b/>
          <w:bCs/>
        </w:rPr>
      </w:pPr>
    </w:p>
    <w:p w14:paraId="5A16BEFF" w14:textId="77777777" w:rsidR="00BB6647" w:rsidRDefault="00BB6647" w:rsidP="001E1D2E">
      <w:pPr>
        <w:pStyle w:val="ListParagraph"/>
        <w:jc w:val="right"/>
        <w:rPr>
          <w:b/>
          <w:bCs/>
        </w:rPr>
      </w:pPr>
    </w:p>
    <w:p w14:paraId="5AC8257F" w14:textId="77777777" w:rsidR="00BB6647" w:rsidRDefault="00BB6647" w:rsidP="001E1D2E">
      <w:pPr>
        <w:pStyle w:val="ListParagraph"/>
        <w:jc w:val="right"/>
        <w:rPr>
          <w:b/>
          <w:bCs/>
        </w:rPr>
      </w:pPr>
    </w:p>
    <w:p w14:paraId="5A3DC8FA" w14:textId="77777777" w:rsidR="00BB6647" w:rsidRDefault="00BB6647" w:rsidP="001E1D2E">
      <w:pPr>
        <w:pStyle w:val="ListParagraph"/>
        <w:jc w:val="right"/>
        <w:rPr>
          <w:b/>
          <w:bCs/>
        </w:rPr>
      </w:pPr>
    </w:p>
    <w:p w14:paraId="265FBB93" w14:textId="77777777" w:rsidR="00BB6647" w:rsidRDefault="00BB6647" w:rsidP="001E1D2E">
      <w:pPr>
        <w:pStyle w:val="ListParagraph"/>
        <w:jc w:val="right"/>
        <w:rPr>
          <w:b/>
          <w:bCs/>
        </w:rPr>
      </w:pPr>
    </w:p>
    <w:p w14:paraId="7295436A" w14:textId="77777777" w:rsidR="00BB6647" w:rsidRDefault="00BB6647" w:rsidP="001E1D2E">
      <w:pPr>
        <w:pStyle w:val="ListParagraph"/>
        <w:jc w:val="right"/>
        <w:rPr>
          <w:b/>
          <w:bCs/>
        </w:rPr>
      </w:pPr>
    </w:p>
    <w:p w14:paraId="6408F661" w14:textId="77777777" w:rsidR="00BB6647" w:rsidRDefault="00BB6647" w:rsidP="001E1D2E">
      <w:pPr>
        <w:pStyle w:val="ListParagraph"/>
        <w:jc w:val="right"/>
        <w:rPr>
          <w:b/>
          <w:bCs/>
        </w:rPr>
      </w:pPr>
    </w:p>
    <w:p w14:paraId="38788123" w14:textId="77777777" w:rsidR="00BB6647" w:rsidRDefault="00BB6647" w:rsidP="001E1D2E">
      <w:pPr>
        <w:pStyle w:val="ListParagraph"/>
        <w:jc w:val="right"/>
        <w:rPr>
          <w:b/>
          <w:bCs/>
        </w:rPr>
      </w:pPr>
    </w:p>
    <w:p w14:paraId="2967A511" w14:textId="77777777" w:rsidR="00BB6647" w:rsidRDefault="00BB6647" w:rsidP="001E1D2E">
      <w:pPr>
        <w:pStyle w:val="ListParagraph"/>
        <w:jc w:val="right"/>
        <w:rPr>
          <w:b/>
          <w:bCs/>
        </w:rPr>
      </w:pPr>
    </w:p>
    <w:p w14:paraId="585D5B42" w14:textId="77777777" w:rsidR="00BB6647" w:rsidRDefault="00BB6647" w:rsidP="001E1D2E">
      <w:pPr>
        <w:pStyle w:val="ListParagraph"/>
        <w:jc w:val="right"/>
        <w:rPr>
          <w:b/>
          <w:bCs/>
        </w:rPr>
      </w:pPr>
    </w:p>
    <w:p w14:paraId="09760BDF" w14:textId="77777777" w:rsidR="00BB6647" w:rsidRDefault="00BB6647" w:rsidP="001E1D2E">
      <w:pPr>
        <w:pStyle w:val="ListParagraph"/>
        <w:jc w:val="right"/>
        <w:rPr>
          <w:b/>
          <w:bCs/>
        </w:rPr>
      </w:pPr>
    </w:p>
    <w:p w14:paraId="1C3ED4CB" w14:textId="77777777" w:rsidR="00BB6647" w:rsidRDefault="00BB6647" w:rsidP="001E1D2E">
      <w:pPr>
        <w:pStyle w:val="ListParagraph"/>
        <w:jc w:val="right"/>
        <w:rPr>
          <w:b/>
          <w:bCs/>
        </w:rPr>
      </w:pPr>
    </w:p>
    <w:p w14:paraId="1BB39912" w14:textId="77777777" w:rsidR="00BB6647" w:rsidRDefault="00BB6647" w:rsidP="001E1D2E">
      <w:pPr>
        <w:pStyle w:val="ListParagraph"/>
        <w:jc w:val="right"/>
        <w:rPr>
          <w:b/>
          <w:bCs/>
        </w:rPr>
      </w:pPr>
    </w:p>
    <w:p w14:paraId="3BDDAACB" w14:textId="77777777" w:rsidR="00BB6647" w:rsidRDefault="00BB6647" w:rsidP="001E1D2E">
      <w:pPr>
        <w:pStyle w:val="ListParagraph"/>
        <w:jc w:val="right"/>
        <w:rPr>
          <w:b/>
          <w:bCs/>
        </w:rPr>
      </w:pPr>
    </w:p>
    <w:p w14:paraId="61C2ECE4" w14:textId="77777777" w:rsidR="00BB6647" w:rsidRDefault="00BB6647" w:rsidP="001E1D2E">
      <w:pPr>
        <w:pStyle w:val="ListParagraph"/>
        <w:jc w:val="right"/>
        <w:rPr>
          <w:b/>
          <w:bCs/>
        </w:rPr>
      </w:pPr>
    </w:p>
    <w:p w14:paraId="344DEF77" w14:textId="77777777" w:rsidR="00BB6647" w:rsidRDefault="00BB6647" w:rsidP="001E1D2E">
      <w:pPr>
        <w:pStyle w:val="ListParagraph"/>
        <w:jc w:val="right"/>
        <w:rPr>
          <w:b/>
          <w:bCs/>
        </w:rPr>
      </w:pPr>
    </w:p>
    <w:p w14:paraId="3CBD64E1" w14:textId="77777777" w:rsidR="00BB6647" w:rsidRDefault="00BB6647" w:rsidP="001E1D2E">
      <w:pPr>
        <w:pStyle w:val="ListParagraph"/>
        <w:jc w:val="right"/>
        <w:rPr>
          <w:b/>
          <w:bCs/>
        </w:rPr>
      </w:pPr>
    </w:p>
    <w:p w14:paraId="2BDBF38B" w14:textId="53FA19D2" w:rsidR="001E1D2E" w:rsidRDefault="001E1D2E" w:rsidP="001E1D2E">
      <w:pPr>
        <w:pStyle w:val="ListParagraph"/>
        <w:jc w:val="right"/>
        <w:rPr>
          <w:b/>
          <w:bCs/>
        </w:rPr>
      </w:pPr>
      <w:r>
        <w:rPr>
          <w:b/>
          <w:bCs/>
        </w:rPr>
        <w:lastRenderedPageBreak/>
        <w:t>Appendix 1</w:t>
      </w:r>
    </w:p>
    <w:p w14:paraId="301ADCC3" w14:textId="3CD3113E" w:rsidR="001E1D2E" w:rsidRPr="0021426F" w:rsidRDefault="001E1D2E" w:rsidP="001E1D2E">
      <w:pPr>
        <w:rPr>
          <w:b/>
          <w:bCs/>
        </w:rPr>
      </w:pPr>
      <w:r w:rsidRPr="0021426F">
        <w:rPr>
          <w:b/>
          <w:bCs/>
        </w:rPr>
        <w:t>Template for potential use when Provider LA’s</w:t>
      </w:r>
      <w:r w:rsidR="001F1B14">
        <w:rPr>
          <w:b/>
          <w:bCs/>
        </w:rPr>
        <w:t xml:space="preserve"> recommendation </w:t>
      </w:r>
      <w:r w:rsidRPr="0021426F">
        <w:rPr>
          <w:b/>
          <w:bCs/>
        </w:rPr>
        <w:t xml:space="preserve">is ‘no’ to a specialist placement in its geographical area. </w:t>
      </w:r>
    </w:p>
    <w:p w14:paraId="4845625F" w14:textId="77777777" w:rsidR="001F1B14" w:rsidRDefault="001E1D2E" w:rsidP="001E1D2E">
      <w:r>
        <w:t>This form would initially be completed by either LA and then would become a shared document with further information added by each as required and appropriate.</w:t>
      </w:r>
      <w:r w:rsidR="001F1B14">
        <w:t xml:space="preserve"> This form could be used where the provider authority is able to evidence that:</w:t>
      </w:r>
    </w:p>
    <w:p w14:paraId="711D1E64" w14:textId="08493FAF" w:rsidR="00D53DFC" w:rsidRDefault="001F1B14" w:rsidP="001F1B14">
      <w:pPr>
        <w:pStyle w:val="ListParagraph"/>
        <w:numPr>
          <w:ilvl w:val="0"/>
          <w:numId w:val="13"/>
        </w:numPr>
      </w:pPr>
      <w:r>
        <w:t>naming the school would be incompatible with the efficient education of others, and/or</w:t>
      </w:r>
    </w:p>
    <w:p w14:paraId="1D5B62F6" w14:textId="77777777" w:rsidR="00D53DFC" w:rsidRDefault="00D53DFC" w:rsidP="001F1B14">
      <w:pPr>
        <w:pStyle w:val="ListParagraph"/>
        <w:numPr>
          <w:ilvl w:val="0"/>
          <w:numId w:val="13"/>
        </w:numPr>
      </w:pPr>
      <w:r>
        <w:t xml:space="preserve">the school requested is unsuitable for the age, ability, aptitude or special educational needs of the child or young person concerned </w:t>
      </w:r>
    </w:p>
    <w:p w14:paraId="1193E056" w14:textId="7CBA97B8" w:rsidR="001E1D2E" w:rsidRDefault="001E1D2E" w:rsidP="00D53DFC">
      <w:r>
        <w:t>As well as a format for sharing information, it is a prompt for communication and collaborative casework between LAs.</w:t>
      </w:r>
    </w:p>
    <w:p w14:paraId="7111FF42" w14:textId="77777777" w:rsidR="001E1D2E" w:rsidRPr="00CD1900" w:rsidRDefault="001E1D2E" w:rsidP="001E1D2E">
      <w:pPr>
        <w:rPr>
          <w:u w:val="single"/>
        </w:rPr>
      </w:pPr>
      <w:r w:rsidRPr="00CD1900">
        <w:rPr>
          <w:u w:val="single"/>
        </w:rPr>
        <w:t xml:space="preserve">To be completed </w:t>
      </w:r>
      <w:r>
        <w:rPr>
          <w:u w:val="single"/>
        </w:rPr>
        <w:t xml:space="preserve">initially </w:t>
      </w:r>
      <w:r w:rsidRPr="00CD1900">
        <w:rPr>
          <w:u w:val="single"/>
        </w:rPr>
        <w:t xml:space="preserve">by placing LA (i.e. where the child or young person is </w:t>
      </w:r>
      <w:r>
        <w:rPr>
          <w:u w:val="single"/>
        </w:rPr>
        <w:t xml:space="preserve">ordinarily </w:t>
      </w:r>
      <w:r w:rsidRPr="00CD1900">
        <w:rPr>
          <w:u w:val="single"/>
        </w:rPr>
        <w:t>resident)</w:t>
      </w:r>
    </w:p>
    <w:tbl>
      <w:tblPr>
        <w:tblStyle w:val="a"/>
        <w:tblW w:w="9089"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8"/>
        <w:gridCol w:w="4961"/>
      </w:tblGrid>
      <w:tr w:rsidR="001E1D2E" w14:paraId="10E2AAFC" w14:textId="77777777" w:rsidTr="00BB6647">
        <w:trPr>
          <w:trHeight w:val="460"/>
        </w:trPr>
        <w:tc>
          <w:tcPr>
            <w:tcW w:w="4128" w:type="dxa"/>
            <w:shd w:val="clear" w:color="auto" w:fill="auto"/>
            <w:tcMar>
              <w:top w:w="100" w:type="dxa"/>
              <w:left w:w="100" w:type="dxa"/>
              <w:bottom w:w="100" w:type="dxa"/>
              <w:right w:w="100" w:type="dxa"/>
            </w:tcMar>
          </w:tcPr>
          <w:p w14:paraId="5A7A73C5" w14:textId="77777777" w:rsidR="001E1D2E" w:rsidRDefault="001E1D2E" w:rsidP="00A171CF">
            <w:r>
              <w:t xml:space="preserve">Provider LA </w:t>
            </w:r>
          </w:p>
          <w:p w14:paraId="26B842E1" w14:textId="77777777" w:rsidR="001E1D2E" w:rsidRDefault="001E1D2E" w:rsidP="00A171CF">
            <w:r>
              <w:t>(officer contact name)</w:t>
            </w:r>
          </w:p>
        </w:tc>
        <w:tc>
          <w:tcPr>
            <w:tcW w:w="4961" w:type="dxa"/>
            <w:shd w:val="clear" w:color="auto" w:fill="auto"/>
            <w:tcMar>
              <w:top w:w="100" w:type="dxa"/>
              <w:left w:w="100" w:type="dxa"/>
              <w:bottom w:w="100" w:type="dxa"/>
              <w:right w:w="100" w:type="dxa"/>
            </w:tcMar>
          </w:tcPr>
          <w:p w14:paraId="05EA8450" w14:textId="77777777" w:rsidR="001E1D2E" w:rsidRDefault="001E1D2E" w:rsidP="00A171CF">
            <w:pPr>
              <w:widowControl w:val="0"/>
              <w:pBdr>
                <w:top w:val="nil"/>
                <w:left w:val="nil"/>
                <w:bottom w:val="nil"/>
                <w:right w:val="nil"/>
                <w:between w:val="nil"/>
              </w:pBdr>
              <w:rPr>
                <w:b/>
              </w:rPr>
            </w:pPr>
          </w:p>
        </w:tc>
      </w:tr>
      <w:tr w:rsidR="001E1D2E" w14:paraId="19D8833F" w14:textId="77777777" w:rsidTr="00BB6647">
        <w:trPr>
          <w:trHeight w:val="460"/>
        </w:trPr>
        <w:tc>
          <w:tcPr>
            <w:tcW w:w="4128" w:type="dxa"/>
            <w:shd w:val="clear" w:color="auto" w:fill="auto"/>
            <w:tcMar>
              <w:top w:w="100" w:type="dxa"/>
              <w:left w:w="100" w:type="dxa"/>
              <w:bottom w:w="100" w:type="dxa"/>
              <w:right w:w="100" w:type="dxa"/>
            </w:tcMar>
          </w:tcPr>
          <w:p w14:paraId="62C648AE" w14:textId="77777777" w:rsidR="001E1D2E" w:rsidRDefault="001E1D2E" w:rsidP="00A171CF">
            <w:pPr>
              <w:jc w:val="both"/>
            </w:pPr>
            <w:r>
              <w:t>Placing LA</w:t>
            </w:r>
          </w:p>
          <w:p w14:paraId="6BDF31D2" w14:textId="77777777" w:rsidR="001E1D2E" w:rsidRDefault="001E1D2E" w:rsidP="00A171CF">
            <w:pPr>
              <w:jc w:val="both"/>
            </w:pPr>
            <w:r>
              <w:t>(officer contact name)</w:t>
            </w:r>
          </w:p>
        </w:tc>
        <w:tc>
          <w:tcPr>
            <w:tcW w:w="4961" w:type="dxa"/>
            <w:shd w:val="clear" w:color="auto" w:fill="auto"/>
            <w:tcMar>
              <w:top w:w="100" w:type="dxa"/>
              <w:left w:w="100" w:type="dxa"/>
              <w:bottom w:w="100" w:type="dxa"/>
              <w:right w:w="100" w:type="dxa"/>
            </w:tcMar>
          </w:tcPr>
          <w:p w14:paraId="6C8733BB" w14:textId="77777777" w:rsidR="001E1D2E" w:rsidRDefault="001E1D2E" w:rsidP="00A171CF">
            <w:pPr>
              <w:widowControl w:val="0"/>
              <w:pBdr>
                <w:top w:val="nil"/>
                <w:left w:val="nil"/>
                <w:bottom w:val="nil"/>
                <w:right w:val="nil"/>
                <w:between w:val="nil"/>
              </w:pBdr>
              <w:rPr>
                <w:b/>
              </w:rPr>
            </w:pPr>
          </w:p>
        </w:tc>
      </w:tr>
      <w:tr w:rsidR="001E1D2E" w14:paraId="7125E0C4" w14:textId="77777777" w:rsidTr="00BB6647">
        <w:trPr>
          <w:trHeight w:val="460"/>
        </w:trPr>
        <w:tc>
          <w:tcPr>
            <w:tcW w:w="4128" w:type="dxa"/>
            <w:shd w:val="clear" w:color="auto" w:fill="auto"/>
            <w:tcMar>
              <w:top w:w="100" w:type="dxa"/>
              <w:left w:w="100" w:type="dxa"/>
              <w:bottom w:w="100" w:type="dxa"/>
              <w:right w:w="100" w:type="dxa"/>
            </w:tcMar>
          </w:tcPr>
          <w:p w14:paraId="3A4ABB3D" w14:textId="77777777" w:rsidR="00BB6647" w:rsidRDefault="001E1D2E" w:rsidP="00A171CF">
            <w:pPr>
              <w:jc w:val="both"/>
            </w:pPr>
            <w:r>
              <w:t xml:space="preserve">Name of child or young person </w:t>
            </w:r>
          </w:p>
          <w:p w14:paraId="222FDA89" w14:textId="48D8A550" w:rsidR="001E1D2E" w:rsidRDefault="001E1D2E" w:rsidP="00A171CF">
            <w:pPr>
              <w:jc w:val="both"/>
            </w:pPr>
            <w:r>
              <w:t xml:space="preserve">(date of birth) </w:t>
            </w:r>
          </w:p>
          <w:p w14:paraId="20DF7AA9" w14:textId="77777777" w:rsidR="001E1D2E" w:rsidRDefault="001E1D2E" w:rsidP="00A171CF">
            <w:pPr>
              <w:jc w:val="both"/>
            </w:pPr>
          </w:p>
        </w:tc>
        <w:tc>
          <w:tcPr>
            <w:tcW w:w="4961" w:type="dxa"/>
            <w:shd w:val="clear" w:color="auto" w:fill="auto"/>
            <w:tcMar>
              <w:top w:w="100" w:type="dxa"/>
              <w:left w:w="100" w:type="dxa"/>
              <w:bottom w:w="100" w:type="dxa"/>
              <w:right w:w="100" w:type="dxa"/>
            </w:tcMar>
          </w:tcPr>
          <w:p w14:paraId="38716469" w14:textId="77777777" w:rsidR="001E1D2E" w:rsidRDefault="001E1D2E" w:rsidP="00A171CF">
            <w:pPr>
              <w:widowControl w:val="0"/>
              <w:pBdr>
                <w:top w:val="nil"/>
                <w:left w:val="nil"/>
                <w:bottom w:val="nil"/>
                <w:right w:val="nil"/>
                <w:between w:val="nil"/>
              </w:pBdr>
              <w:rPr>
                <w:b/>
              </w:rPr>
            </w:pPr>
          </w:p>
        </w:tc>
      </w:tr>
      <w:tr w:rsidR="001E1D2E" w14:paraId="5DEBA8EF" w14:textId="77777777" w:rsidTr="00BB6647">
        <w:tc>
          <w:tcPr>
            <w:tcW w:w="4128" w:type="dxa"/>
            <w:shd w:val="clear" w:color="auto" w:fill="auto"/>
            <w:tcMar>
              <w:top w:w="100" w:type="dxa"/>
              <w:left w:w="100" w:type="dxa"/>
              <w:bottom w:w="100" w:type="dxa"/>
              <w:right w:w="100" w:type="dxa"/>
            </w:tcMar>
          </w:tcPr>
          <w:p w14:paraId="552CAA20" w14:textId="77777777" w:rsidR="001E1D2E" w:rsidRDefault="001E1D2E" w:rsidP="00A171CF">
            <w:pPr>
              <w:jc w:val="both"/>
            </w:pPr>
            <w:r>
              <w:t>Is this a parental request?</w:t>
            </w:r>
            <w:r>
              <w:tab/>
            </w:r>
          </w:p>
          <w:p w14:paraId="2D876F42" w14:textId="77777777" w:rsidR="001E1D2E" w:rsidRDefault="001E1D2E" w:rsidP="00A171CF">
            <w:pPr>
              <w:jc w:val="both"/>
            </w:pPr>
          </w:p>
        </w:tc>
        <w:tc>
          <w:tcPr>
            <w:tcW w:w="4961" w:type="dxa"/>
            <w:shd w:val="clear" w:color="auto" w:fill="auto"/>
            <w:tcMar>
              <w:top w:w="100" w:type="dxa"/>
              <w:left w:w="100" w:type="dxa"/>
              <w:bottom w:w="100" w:type="dxa"/>
              <w:right w:w="100" w:type="dxa"/>
            </w:tcMar>
          </w:tcPr>
          <w:p w14:paraId="3FC40474" w14:textId="77777777" w:rsidR="001E1D2E" w:rsidRDefault="001E1D2E" w:rsidP="00A171CF">
            <w:pPr>
              <w:widowControl w:val="0"/>
              <w:pBdr>
                <w:top w:val="nil"/>
                <w:left w:val="nil"/>
                <w:bottom w:val="nil"/>
                <w:right w:val="nil"/>
                <w:between w:val="nil"/>
              </w:pBdr>
              <w:rPr>
                <w:b/>
              </w:rPr>
            </w:pPr>
          </w:p>
        </w:tc>
      </w:tr>
      <w:tr w:rsidR="001E1D2E" w14:paraId="375DE2EE" w14:textId="77777777" w:rsidTr="00BB6647">
        <w:tc>
          <w:tcPr>
            <w:tcW w:w="4128" w:type="dxa"/>
            <w:shd w:val="clear" w:color="auto" w:fill="auto"/>
            <w:tcMar>
              <w:top w:w="100" w:type="dxa"/>
              <w:left w:w="100" w:type="dxa"/>
              <w:bottom w:w="100" w:type="dxa"/>
              <w:right w:w="100" w:type="dxa"/>
            </w:tcMar>
          </w:tcPr>
          <w:p w14:paraId="34BCCE03" w14:textId="77777777" w:rsidR="001E1D2E" w:rsidRDefault="001E1D2E" w:rsidP="00A171CF">
            <w:pPr>
              <w:jc w:val="both"/>
            </w:pPr>
            <w:r>
              <w:t>Name of setting requested</w:t>
            </w:r>
          </w:p>
          <w:p w14:paraId="4A38263A" w14:textId="77777777" w:rsidR="001E1D2E" w:rsidRDefault="001E1D2E" w:rsidP="00A171CF">
            <w:pPr>
              <w:jc w:val="both"/>
            </w:pPr>
          </w:p>
        </w:tc>
        <w:tc>
          <w:tcPr>
            <w:tcW w:w="4961" w:type="dxa"/>
            <w:shd w:val="clear" w:color="auto" w:fill="auto"/>
            <w:tcMar>
              <w:top w:w="100" w:type="dxa"/>
              <w:left w:w="100" w:type="dxa"/>
              <w:bottom w:w="100" w:type="dxa"/>
              <w:right w:w="100" w:type="dxa"/>
            </w:tcMar>
          </w:tcPr>
          <w:p w14:paraId="671F5071" w14:textId="77777777" w:rsidR="001E1D2E" w:rsidRDefault="001E1D2E" w:rsidP="00A171CF">
            <w:pPr>
              <w:widowControl w:val="0"/>
              <w:pBdr>
                <w:top w:val="nil"/>
                <w:left w:val="nil"/>
                <w:bottom w:val="nil"/>
                <w:right w:val="nil"/>
                <w:between w:val="nil"/>
              </w:pBdr>
              <w:rPr>
                <w:b/>
              </w:rPr>
            </w:pPr>
          </w:p>
        </w:tc>
      </w:tr>
      <w:tr w:rsidR="001E1D2E" w14:paraId="7CE6D848" w14:textId="77777777" w:rsidTr="00BB6647">
        <w:tc>
          <w:tcPr>
            <w:tcW w:w="4128" w:type="dxa"/>
            <w:shd w:val="clear" w:color="auto" w:fill="auto"/>
            <w:tcMar>
              <w:top w:w="100" w:type="dxa"/>
              <w:left w:w="100" w:type="dxa"/>
              <w:bottom w:w="100" w:type="dxa"/>
              <w:right w:w="100" w:type="dxa"/>
            </w:tcMar>
          </w:tcPr>
          <w:p w14:paraId="27D7A32C" w14:textId="77777777" w:rsidR="001E1D2E" w:rsidRDefault="001E1D2E" w:rsidP="00A171CF">
            <w:pPr>
              <w:jc w:val="both"/>
            </w:pPr>
            <w:r>
              <w:t>Is it the nearest suitable setting?</w:t>
            </w:r>
          </w:p>
          <w:p w14:paraId="169B993E" w14:textId="77777777" w:rsidR="001E1D2E" w:rsidRDefault="001E1D2E" w:rsidP="00A171CF">
            <w:pPr>
              <w:jc w:val="both"/>
            </w:pPr>
          </w:p>
        </w:tc>
        <w:tc>
          <w:tcPr>
            <w:tcW w:w="4961" w:type="dxa"/>
            <w:shd w:val="clear" w:color="auto" w:fill="auto"/>
            <w:tcMar>
              <w:top w:w="100" w:type="dxa"/>
              <w:left w:w="100" w:type="dxa"/>
              <w:bottom w:w="100" w:type="dxa"/>
              <w:right w:w="100" w:type="dxa"/>
            </w:tcMar>
          </w:tcPr>
          <w:p w14:paraId="6A529339" w14:textId="77777777" w:rsidR="001E1D2E" w:rsidRDefault="001E1D2E" w:rsidP="00A171CF">
            <w:pPr>
              <w:widowControl w:val="0"/>
              <w:pBdr>
                <w:top w:val="nil"/>
                <w:left w:val="nil"/>
                <w:bottom w:val="nil"/>
                <w:right w:val="nil"/>
                <w:between w:val="nil"/>
              </w:pBdr>
              <w:rPr>
                <w:b/>
              </w:rPr>
            </w:pPr>
          </w:p>
        </w:tc>
      </w:tr>
      <w:tr w:rsidR="001E1D2E" w14:paraId="1AC5D7CF" w14:textId="77777777" w:rsidTr="00BB6647">
        <w:tc>
          <w:tcPr>
            <w:tcW w:w="4128" w:type="dxa"/>
            <w:shd w:val="clear" w:color="auto" w:fill="auto"/>
            <w:tcMar>
              <w:top w:w="100" w:type="dxa"/>
              <w:left w:w="100" w:type="dxa"/>
              <w:bottom w:w="100" w:type="dxa"/>
              <w:right w:w="100" w:type="dxa"/>
            </w:tcMar>
          </w:tcPr>
          <w:p w14:paraId="3F04358C" w14:textId="77777777" w:rsidR="001E1D2E" w:rsidRDefault="001E1D2E" w:rsidP="00A171CF">
            <w:r>
              <w:t>Have you consulted with the setting? If so, what was the response?</w:t>
            </w:r>
          </w:p>
        </w:tc>
        <w:tc>
          <w:tcPr>
            <w:tcW w:w="4961" w:type="dxa"/>
            <w:shd w:val="clear" w:color="auto" w:fill="auto"/>
            <w:tcMar>
              <w:top w:w="100" w:type="dxa"/>
              <w:left w:w="100" w:type="dxa"/>
              <w:bottom w:w="100" w:type="dxa"/>
              <w:right w:w="100" w:type="dxa"/>
            </w:tcMar>
          </w:tcPr>
          <w:p w14:paraId="1F870B36" w14:textId="77777777" w:rsidR="001E1D2E" w:rsidRDefault="001E1D2E" w:rsidP="00A171CF">
            <w:pPr>
              <w:widowControl w:val="0"/>
              <w:pBdr>
                <w:top w:val="nil"/>
                <w:left w:val="nil"/>
                <w:bottom w:val="nil"/>
                <w:right w:val="nil"/>
                <w:between w:val="nil"/>
              </w:pBdr>
              <w:rPr>
                <w:b/>
              </w:rPr>
            </w:pPr>
          </w:p>
        </w:tc>
      </w:tr>
      <w:tr w:rsidR="001E1D2E" w14:paraId="6F42432C" w14:textId="77777777" w:rsidTr="00BB6647">
        <w:tc>
          <w:tcPr>
            <w:tcW w:w="4128" w:type="dxa"/>
            <w:shd w:val="clear" w:color="auto" w:fill="auto"/>
            <w:tcMar>
              <w:top w:w="100" w:type="dxa"/>
              <w:left w:w="100" w:type="dxa"/>
              <w:bottom w:w="100" w:type="dxa"/>
              <w:right w:w="100" w:type="dxa"/>
            </w:tcMar>
          </w:tcPr>
          <w:p w14:paraId="32F4D4BA" w14:textId="77777777" w:rsidR="001E1D2E" w:rsidRDefault="001E1D2E" w:rsidP="00A171CF">
            <w:pPr>
              <w:jc w:val="both"/>
            </w:pPr>
            <w:r>
              <w:t>Have the parents appealed to tribunal? If so, is there a date for the JADR or hearing?</w:t>
            </w:r>
          </w:p>
        </w:tc>
        <w:tc>
          <w:tcPr>
            <w:tcW w:w="4961" w:type="dxa"/>
            <w:shd w:val="clear" w:color="auto" w:fill="auto"/>
            <w:tcMar>
              <w:top w:w="100" w:type="dxa"/>
              <w:left w:w="100" w:type="dxa"/>
              <w:bottom w:w="100" w:type="dxa"/>
              <w:right w:w="100" w:type="dxa"/>
            </w:tcMar>
          </w:tcPr>
          <w:p w14:paraId="7591A3B5" w14:textId="77777777" w:rsidR="001E1D2E" w:rsidRDefault="001E1D2E" w:rsidP="00A171CF">
            <w:pPr>
              <w:widowControl w:val="0"/>
              <w:pBdr>
                <w:top w:val="nil"/>
                <w:left w:val="nil"/>
                <w:bottom w:val="nil"/>
                <w:right w:val="nil"/>
                <w:between w:val="nil"/>
              </w:pBdr>
              <w:rPr>
                <w:b/>
              </w:rPr>
            </w:pPr>
          </w:p>
        </w:tc>
      </w:tr>
      <w:tr w:rsidR="001E1D2E" w14:paraId="05EDEA9F" w14:textId="77777777" w:rsidTr="00BB6647">
        <w:tc>
          <w:tcPr>
            <w:tcW w:w="4128" w:type="dxa"/>
            <w:shd w:val="clear" w:color="auto" w:fill="auto"/>
            <w:tcMar>
              <w:top w:w="100" w:type="dxa"/>
              <w:left w:w="100" w:type="dxa"/>
              <w:bottom w:w="100" w:type="dxa"/>
              <w:right w:w="100" w:type="dxa"/>
            </w:tcMar>
          </w:tcPr>
          <w:p w14:paraId="2BFE24B9" w14:textId="77777777" w:rsidR="001E1D2E" w:rsidRDefault="001E1D2E" w:rsidP="00A171CF">
            <w:r>
              <w:t>What level of top up funding is given?</w:t>
            </w:r>
          </w:p>
          <w:p w14:paraId="5C17E8E4" w14:textId="77777777" w:rsidR="00BB6647" w:rsidRDefault="00BB6647" w:rsidP="00A171CF"/>
        </w:tc>
        <w:tc>
          <w:tcPr>
            <w:tcW w:w="4961" w:type="dxa"/>
            <w:shd w:val="clear" w:color="auto" w:fill="auto"/>
            <w:tcMar>
              <w:top w:w="100" w:type="dxa"/>
              <w:left w:w="100" w:type="dxa"/>
              <w:bottom w:w="100" w:type="dxa"/>
              <w:right w:w="100" w:type="dxa"/>
            </w:tcMar>
          </w:tcPr>
          <w:p w14:paraId="1C4E610D" w14:textId="77777777" w:rsidR="001E1D2E" w:rsidRDefault="001E1D2E" w:rsidP="00A171CF">
            <w:pPr>
              <w:widowControl w:val="0"/>
              <w:pBdr>
                <w:top w:val="nil"/>
                <w:left w:val="nil"/>
                <w:bottom w:val="nil"/>
                <w:right w:val="nil"/>
                <w:between w:val="nil"/>
              </w:pBdr>
              <w:rPr>
                <w:b/>
              </w:rPr>
            </w:pPr>
          </w:p>
        </w:tc>
      </w:tr>
      <w:tr w:rsidR="001E1D2E" w14:paraId="060799DE" w14:textId="77777777" w:rsidTr="00BB6647">
        <w:tc>
          <w:tcPr>
            <w:tcW w:w="4128" w:type="dxa"/>
            <w:shd w:val="clear" w:color="auto" w:fill="auto"/>
            <w:tcMar>
              <w:top w:w="100" w:type="dxa"/>
              <w:left w:w="100" w:type="dxa"/>
              <w:bottom w:w="100" w:type="dxa"/>
              <w:right w:w="100" w:type="dxa"/>
            </w:tcMar>
          </w:tcPr>
          <w:p w14:paraId="134E8066" w14:textId="77777777" w:rsidR="001E1D2E" w:rsidRDefault="001E1D2E" w:rsidP="00A171CF">
            <w:r>
              <w:t>Is therapy provision specified?</w:t>
            </w:r>
          </w:p>
          <w:p w14:paraId="45A08A18" w14:textId="77777777" w:rsidR="001E1D2E" w:rsidRDefault="001E1D2E" w:rsidP="00A171CF"/>
        </w:tc>
        <w:tc>
          <w:tcPr>
            <w:tcW w:w="4961" w:type="dxa"/>
            <w:shd w:val="clear" w:color="auto" w:fill="auto"/>
            <w:tcMar>
              <w:top w:w="100" w:type="dxa"/>
              <w:left w:w="100" w:type="dxa"/>
              <w:bottom w:w="100" w:type="dxa"/>
              <w:right w:w="100" w:type="dxa"/>
            </w:tcMar>
          </w:tcPr>
          <w:p w14:paraId="3ADE87AC" w14:textId="77777777" w:rsidR="001E1D2E" w:rsidRDefault="001E1D2E" w:rsidP="00A171CF">
            <w:pPr>
              <w:widowControl w:val="0"/>
              <w:pBdr>
                <w:top w:val="nil"/>
                <w:left w:val="nil"/>
                <w:bottom w:val="nil"/>
                <w:right w:val="nil"/>
                <w:between w:val="nil"/>
              </w:pBdr>
              <w:rPr>
                <w:b/>
              </w:rPr>
            </w:pPr>
          </w:p>
        </w:tc>
      </w:tr>
      <w:tr w:rsidR="001E1D2E" w14:paraId="0B206CFB" w14:textId="77777777" w:rsidTr="00BB6647">
        <w:tc>
          <w:tcPr>
            <w:tcW w:w="4128" w:type="dxa"/>
            <w:shd w:val="clear" w:color="auto" w:fill="auto"/>
            <w:tcMar>
              <w:top w:w="100" w:type="dxa"/>
              <w:left w:w="100" w:type="dxa"/>
              <w:bottom w:w="100" w:type="dxa"/>
              <w:right w:w="100" w:type="dxa"/>
            </w:tcMar>
          </w:tcPr>
          <w:p w14:paraId="6CA69EF4" w14:textId="77777777" w:rsidR="001E1D2E" w:rsidRDefault="001E1D2E" w:rsidP="00A171CF">
            <w:r>
              <w:t>Is social care provision specified?</w:t>
            </w:r>
          </w:p>
        </w:tc>
        <w:tc>
          <w:tcPr>
            <w:tcW w:w="4961" w:type="dxa"/>
            <w:shd w:val="clear" w:color="auto" w:fill="auto"/>
            <w:tcMar>
              <w:top w:w="100" w:type="dxa"/>
              <w:left w:w="100" w:type="dxa"/>
              <w:bottom w:w="100" w:type="dxa"/>
              <w:right w:w="100" w:type="dxa"/>
            </w:tcMar>
          </w:tcPr>
          <w:p w14:paraId="4F2CF784" w14:textId="77777777" w:rsidR="001E1D2E" w:rsidRDefault="001E1D2E" w:rsidP="00A171CF">
            <w:pPr>
              <w:widowControl w:val="0"/>
              <w:pBdr>
                <w:top w:val="nil"/>
                <w:left w:val="nil"/>
                <w:bottom w:val="nil"/>
                <w:right w:val="nil"/>
                <w:between w:val="nil"/>
              </w:pBdr>
              <w:rPr>
                <w:b/>
              </w:rPr>
            </w:pPr>
          </w:p>
        </w:tc>
      </w:tr>
      <w:tr w:rsidR="001E1D2E" w14:paraId="1E024F71" w14:textId="77777777" w:rsidTr="00BB6647">
        <w:tc>
          <w:tcPr>
            <w:tcW w:w="4128" w:type="dxa"/>
            <w:shd w:val="clear" w:color="auto" w:fill="auto"/>
            <w:tcMar>
              <w:top w:w="100" w:type="dxa"/>
              <w:left w:w="100" w:type="dxa"/>
              <w:bottom w:w="100" w:type="dxa"/>
              <w:right w:w="100" w:type="dxa"/>
            </w:tcMar>
          </w:tcPr>
          <w:p w14:paraId="76018D7B" w14:textId="77777777" w:rsidR="001E1D2E" w:rsidRDefault="001E1D2E" w:rsidP="00A171CF">
            <w:r>
              <w:lastRenderedPageBreak/>
              <w:t>Travel: any details about the distance, journey time and cost</w:t>
            </w:r>
          </w:p>
        </w:tc>
        <w:tc>
          <w:tcPr>
            <w:tcW w:w="4961" w:type="dxa"/>
            <w:shd w:val="clear" w:color="auto" w:fill="auto"/>
            <w:tcMar>
              <w:top w:w="100" w:type="dxa"/>
              <w:left w:w="100" w:type="dxa"/>
              <w:bottom w:w="100" w:type="dxa"/>
              <w:right w:w="100" w:type="dxa"/>
            </w:tcMar>
          </w:tcPr>
          <w:p w14:paraId="349D9FA5" w14:textId="77777777" w:rsidR="001E1D2E" w:rsidRDefault="001E1D2E" w:rsidP="00A171CF">
            <w:pPr>
              <w:widowControl w:val="0"/>
              <w:pBdr>
                <w:top w:val="nil"/>
                <w:left w:val="nil"/>
                <w:bottom w:val="nil"/>
                <w:right w:val="nil"/>
                <w:between w:val="nil"/>
              </w:pBdr>
              <w:rPr>
                <w:b/>
              </w:rPr>
            </w:pPr>
          </w:p>
        </w:tc>
      </w:tr>
      <w:tr w:rsidR="001E1D2E" w14:paraId="04952DD2" w14:textId="77777777" w:rsidTr="00BB6647">
        <w:tc>
          <w:tcPr>
            <w:tcW w:w="4128" w:type="dxa"/>
            <w:shd w:val="clear" w:color="auto" w:fill="auto"/>
            <w:tcMar>
              <w:top w:w="100" w:type="dxa"/>
              <w:left w:w="100" w:type="dxa"/>
              <w:bottom w:w="100" w:type="dxa"/>
              <w:right w:w="100" w:type="dxa"/>
            </w:tcMar>
          </w:tcPr>
          <w:p w14:paraId="59AE5500" w14:textId="77777777" w:rsidR="001E1D2E" w:rsidRDefault="001E1D2E" w:rsidP="00A171CF">
            <w:pPr>
              <w:jc w:val="both"/>
            </w:pPr>
            <w:r>
              <w:t>Anything else?</w:t>
            </w:r>
          </w:p>
          <w:p w14:paraId="0FFFCEA0" w14:textId="77777777" w:rsidR="001E1D2E" w:rsidRDefault="001E1D2E" w:rsidP="00A171CF">
            <w:pPr>
              <w:jc w:val="both"/>
            </w:pPr>
          </w:p>
        </w:tc>
        <w:tc>
          <w:tcPr>
            <w:tcW w:w="4961" w:type="dxa"/>
            <w:shd w:val="clear" w:color="auto" w:fill="auto"/>
            <w:tcMar>
              <w:top w:w="100" w:type="dxa"/>
              <w:left w:w="100" w:type="dxa"/>
              <w:bottom w:w="100" w:type="dxa"/>
              <w:right w:w="100" w:type="dxa"/>
            </w:tcMar>
          </w:tcPr>
          <w:p w14:paraId="63A679A2" w14:textId="77777777" w:rsidR="001E1D2E" w:rsidRDefault="001E1D2E" w:rsidP="00A171CF">
            <w:pPr>
              <w:widowControl w:val="0"/>
              <w:pBdr>
                <w:top w:val="nil"/>
                <w:left w:val="nil"/>
                <w:bottom w:val="nil"/>
                <w:right w:val="nil"/>
                <w:between w:val="nil"/>
              </w:pBdr>
              <w:rPr>
                <w:b/>
              </w:rPr>
            </w:pPr>
          </w:p>
        </w:tc>
      </w:tr>
    </w:tbl>
    <w:p w14:paraId="6FAAB09D" w14:textId="77777777" w:rsidR="008B07F7" w:rsidRDefault="008B07F7" w:rsidP="001E1D2E">
      <w:pPr>
        <w:rPr>
          <w:u w:val="single"/>
        </w:rPr>
      </w:pPr>
    </w:p>
    <w:p w14:paraId="6A0B8F54" w14:textId="7266DFF5" w:rsidR="001E1D2E" w:rsidRDefault="001E1D2E" w:rsidP="001E1D2E">
      <w:r w:rsidRPr="00E04025">
        <w:rPr>
          <w:u w:val="single"/>
        </w:rPr>
        <w:t xml:space="preserve">To be completed </w:t>
      </w:r>
      <w:r>
        <w:rPr>
          <w:u w:val="single"/>
        </w:rPr>
        <w:t xml:space="preserve">initially </w:t>
      </w:r>
      <w:r w:rsidRPr="00E04025">
        <w:rPr>
          <w:u w:val="single"/>
        </w:rPr>
        <w:t>by the provider LA (i.e. where the educational establishment is located)</w:t>
      </w:r>
    </w:p>
    <w:tbl>
      <w:tblPr>
        <w:tblStyle w:val="a"/>
        <w:tblW w:w="9089"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8"/>
        <w:gridCol w:w="4961"/>
      </w:tblGrid>
      <w:tr w:rsidR="001E1D2E" w14:paraId="56B42004" w14:textId="77777777" w:rsidTr="00BB6647">
        <w:trPr>
          <w:trHeight w:val="460"/>
        </w:trPr>
        <w:tc>
          <w:tcPr>
            <w:tcW w:w="4128" w:type="dxa"/>
            <w:shd w:val="clear" w:color="auto" w:fill="auto"/>
            <w:tcMar>
              <w:top w:w="100" w:type="dxa"/>
              <w:left w:w="100" w:type="dxa"/>
              <w:bottom w:w="100" w:type="dxa"/>
              <w:right w:w="100" w:type="dxa"/>
            </w:tcMar>
          </w:tcPr>
          <w:p w14:paraId="588672A4" w14:textId="77777777" w:rsidR="001E1D2E" w:rsidRDefault="001E1D2E" w:rsidP="00A171CF">
            <w:pPr>
              <w:jc w:val="both"/>
            </w:pPr>
            <w:r>
              <w:t>Have you been in contact with the setting? If so, what response or information do you have from them?</w:t>
            </w:r>
          </w:p>
        </w:tc>
        <w:tc>
          <w:tcPr>
            <w:tcW w:w="4961" w:type="dxa"/>
            <w:shd w:val="clear" w:color="auto" w:fill="auto"/>
            <w:tcMar>
              <w:top w:w="100" w:type="dxa"/>
              <w:left w:w="100" w:type="dxa"/>
              <w:bottom w:w="100" w:type="dxa"/>
              <w:right w:w="100" w:type="dxa"/>
            </w:tcMar>
          </w:tcPr>
          <w:p w14:paraId="38E8D159" w14:textId="77777777" w:rsidR="001E1D2E" w:rsidRDefault="001E1D2E" w:rsidP="00A171CF">
            <w:pPr>
              <w:widowControl w:val="0"/>
              <w:pBdr>
                <w:top w:val="nil"/>
                <w:left w:val="nil"/>
                <w:bottom w:val="nil"/>
                <w:right w:val="nil"/>
                <w:between w:val="nil"/>
              </w:pBdr>
              <w:rPr>
                <w:b/>
              </w:rPr>
            </w:pPr>
          </w:p>
        </w:tc>
      </w:tr>
      <w:tr w:rsidR="001E1D2E" w14:paraId="5714152A" w14:textId="77777777" w:rsidTr="00BB6647">
        <w:trPr>
          <w:trHeight w:val="460"/>
        </w:trPr>
        <w:tc>
          <w:tcPr>
            <w:tcW w:w="4128" w:type="dxa"/>
            <w:shd w:val="clear" w:color="auto" w:fill="auto"/>
            <w:tcMar>
              <w:top w:w="100" w:type="dxa"/>
              <w:left w:w="100" w:type="dxa"/>
              <w:bottom w:w="100" w:type="dxa"/>
              <w:right w:w="100" w:type="dxa"/>
            </w:tcMar>
          </w:tcPr>
          <w:p w14:paraId="573D2DBE" w14:textId="5D98DEA8" w:rsidR="001E1D2E" w:rsidRDefault="001E1D2E" w:rsidP="00A171CF">
            <w:pPr>
              <w:jc w:val="both"/>
            </w:pPr>
            <w:r>
              <w:t>Have</w:t>
            </w:r>
            <w:r w:rsidR="008B07F7">
              <w:t xml:space="preserve"> you</w:t>
            </w:r>
            <w:r>
              <w:t xml:space="preserve"> had contact with the other LA yet? What has been shared or agreed between you?</w:t>
            </w:r>
          </w:p>
        </w:tc>
        <w:tc>
          <w:tcPr>
            <w:tcW w:w="4961" w:type="dxa"/>
            <w:shd w:val="clear" w:color="auto" w:fill="auto"/>
            <w:tcMar>
              <w:top w:w="100" w:type="dxa"/>
              <w:left w:w="100" w:type="dxa"/>
              <w:bottom w:w="100" w:type="dxa"/>
              <w:right w:w="100" w:type="dxa"/>
            </w:tcMar>
          </w:tcPr>
          <w:p w14:paraId="6110A844" w14:textId="77777777" w:rsidR="001E1D2E" w:rsidRDefault="001E1D2E" w:rsidP="00A171CF">
            <w:pPr>
              <w:widowControl w:val="0"/>
              <w:pBdr>
                <w:top w:val="nil"/>
                <w:left w:val="nil"/>
                <w:bottom w:val="nil"/>
                <w:right w:val="nil"/>
                <w:between w:val="nil"/>
              </w:pBdr>
              <w:rPr>
                <w:b/>
              </w:rPr>
            </w:pPr>
          </w:p>
        </w:tc>
      </w:tr>
      <w:tr w:rsidR="001E1D2E" w14:paraId="780E2769" w14:textId="77777777" w:rsidTr="00BB6647">
        <w:trPr>
          <w:trHeight w:val="460"/>
        </w:trPr>
        <w:tc>
          <w:tcPr>
            <w:tcW w:w="4128" w:type="dxa"/>
            <w:shd w:val="clear" w:color="auto" w:fill="auto"/>
            <w:tcMar>
              <w:top w:w="100" w:type="dxa"/>
              <w:left w:w="100" w:type="dxa"/>
              <w:bottom w:w="100" w:type="dxa"/>
              <w:right w:w="100" w:type="dxa"/>
            </w:tcMar>
          </w:tcPr>
          <w:p w14:paraId="387CCBA4" w14:textId="77777777" w:rsidR="001E1D2E" w:rsidRDefault="001E1D2E" w:rsidP="00A171CF">
            <w:pPr>
              <w:jc w:val="both"/>
            </w:pPr>
            <w:r>
              <w:t>What is the cost of a placement at this setting?</w:t>
            </w:r>
          </w:p>
        </w:tc>
        <w:tc>
          <w:tcPr>
            <w:tcW w:w="4961" w:type="dxa"/>
            <w:shd w:val="clear" w:color="auto" w:fill="auto"/>
            <w:tcMar>
              <w:top w:w="100" w:type="dxa"/>
              <w:left w:w="100" w:type="dxa"/>
              <w:bottom w:w="100" w:type="dxa"/>
              <w:right w:w="100" w:type="dxa"/>
            </w:tcMar>
          </w:tcPr>
          <w:p w14:paraId="269D3530" w14:textId="77777777" w:rsidR="001E1D2E" w:rsidRPr="008A316D" w:rsidRDefault="001E1D2E" w:rsidP="00A171CF">
            <w:pPr>
              <w:widowControl w:val="0"/>
              <w:pBdr>
                <w:top w:val="nil"/>
                <w:left w:val="nil"/>
                <w:bottom w:val="nil"/>
                <w:right w:val="nil"/>
                <w:between w:val="nil"/>
              </w:pBdr>
              <w:rPr>
                <w:bCs/>
                <w:i/>
                <w:iCs/>
              </w:rPr>
            </w:pPr>
            <w:r w:rsidRPr="008A316D">
              <w:rPr>
                <w:bCs/>
                <w:i/>
                <w:iCs/>
              </w:rPr>
              <w:t>This would principally be the top up funding, but helpful to capture the additional place cost in the first year, and anything else</w:t>
            </w:r>
          </w:p>
        </w:tc>
      </w:tr>
      <w:tr w:rsidR="001E1D2E" w14:paraId="35ECCCF8" w14:textId="77777777" w:rsidTr="00BB6647">
        <w:trPr>
          <w:trHeight w:val="460"/>
        </w:trPr>
        <w:tc>
          <w:tcPr>
            <w:tcW w:w="4128" w:type="dxa"/>
            <w:shd w:val="clear" w:color="auto" w:fill="auto"/>
            <w:tcMar>
              <w:top w:w="100" w:type="dxa"/>
              <w:left w:w="100" w:type="dxa"/>
              <w:bottom w:w="100" w:type="dxa"/>
              <w:right w:w="100" w:type="dxa"/>
            </w:tcMar>
          </w:tcPr>
          <w:p w14:paraId="520AD118" w14:textId="77777777" w:rsidR="001E1D2E" w:rsidRDefault="001E1D2E" w:rsidP="00A171CF">
            <w:r>
              <w:t xml:space="preserve">Is </w:t>
            </w:r>
            <w:r w:rsidRPr="00631B55">
              <w:t xml:space="preserve">the school or other institution requested </w:t>
            </w:r>
            <w:r>
              <w:t>u</w:t>
            </w:r>
            <w:r w:rsidRPr="00631B55">
              <w:t>nsuitable for the age, ability, aptitude or special educational needs of the child or young person concerned</w:t>
            </w:r>
            <w:r>
              <w:t>? Please outline the reasons and any evidence for this view</w:t>
            </w:r>
          </w:p>
        </w:tc>
        <w:tc>
          <w:tcPr>
            <w:tcW w:w="4961" w:type="dxa"/>
            <w:shd w:val="clear" w:color="auto" w:fill="auto"/>
            <w:tcMar>
              <w:top w:w="100" w:type="dxa"/>
              <w:left w:w="100" w:type="dxa"/>
              <w:bottom w:w="100" w:type="dxa"/>
              <w:right w:w="100" w:type="dxa"/>
            </w:tcMar>
          </w:tcPr>
          <w:p w14:paraId="04045991" w14:textId="77777777" w:rsidR="001E1D2E" w:rsidRDefault="001E1D2E" w:rsidP="00A171CF">
            <w:pPr>
              <w:widowControl w:val="0"/>
              <w:pBdr>
                <w:top w:val="nil"/>
                <w:left w:val="nil"/>
                <w:bottom w:val="nil"/>
                <w:right w:val="nil"/>
                <w:between w:val="nil"/>
              </w:pBdr>
              <w:rPr>
                <w:b/>
              </w:rPr>
            </w:pPr>
          </w:p>
        </w:tc>
      </w:tr>
      <w:tr w:rsidR="001E1D2E" w14:paraId="41631B5D" w14:textId="77777777" w:rsidTr="00BB6647">
        <w:tc>
          <w:tcPr>
            <w:tcW w:w="4128" w:type="dxa"/>
            <w:shd w:val="clear" w:color="auto" w:fill="auto"/>
            <w:tcMar>
              <w:top w:w="100" w:type="dxa"/>
              <w:left w:w="100" w:type="dxa"/>
              <w:bottom w:w="100" w:type="dxa"/>
              <w:right w:w="100" w:type="dxa"/>
            </w:tcMar>
          </w:tcPr>
          <w:p w14:paraId="58800FE6" w14:textId="77777777" w:rsidR="001E1D2E" w:rsidRDefault="001E1D2E" w:rsidP="00A171CF">
            <w:r>
              <w:t>Would the attendance of the child or young person at the requested school or other institution be incompatible with</w:t>
            </w:r>
          </w:p>
          <w:p w14:paraId="39758DED" w14:textId="1535B7CB" w:rsidR="001E1D2E" w:rsidRDefault="001E1D2E" w:rsidP="00A171CF">
            <w:pPr>
              <w:jc w:val="both"/>
            </w:pPr>
            <w:r>
              <w:t xml:space="preserve">the provision of efficient education for others (i.e. </w:t>
            </w:r>
            <w:r w:rsidRPr="0045349A">
              <w:t>the children or young people with whom the child or young person with an EHC plan would be likely to come into contact on a regular day-to-day basis</w:t>
            </w:r>
            <w:r>
              <w:t>)?</w:t>
            </w:r>
          </w:p>
          <w:p w14:paraId="6DD287E0" w14:textId="77777777" w:rsidR="001E1D2E" w:rsidRDefault="001E1D2E" w:rsidP="00A171CF">
            <w:pPr>
              <w:jc w:val="both"/>
            </w:pPr>
            <w:r>
              <w:t>Please outline the reasons and any evidence for this view</w:t>
            </w:r>
          </w:p>
        </w:tc>
        <w:tc>
          <w:tcPr>
            <w:tcW w:w="4961" w:type="dxa"/>
            <w:shd w:val="clear" w:color="auto" w:fill="auto"/>
            <w:tcMar>
              <w:top w:w="100" w:type="dxa"/>
              <w:left w:w="100" w:type="dxa"/>
              <w:bottom w:w="100" w:type="dxa"/>
              <w:right w:w="100" w:type="dxa"/>
            </w:tcMar>
          </w:tcPr>
          <w:p w14:paraId="40B380DB" w14:textId="77777777" w:rsidR="001E1D2E" w:rsidRDefault="001E1D2E" w:rsidP="00A171CF">
            <w:pPr>
              <w:widowControl w:val="0"/>
              <w:pBdr>
                <w:top w:val="nil"/>
                <w:left w:val="nil"/>
                <w:bottom w:val="nil"/>
                <w:right w:val="nil"/>
                <w:between w:val="nil"/>
              </w:pBdr>
              <w:rPr>
                <w:b/>
              </w:rPr>
            </w:pPr>
          </w:p>
        </w:tc>
      </w:tr>
      <w:tr w:rsidR="001E1D2E" w14:paraId="19E21C75" w14:textId="77777777" w:rsidTr="00BB6647">
        <w:tc>
          <w:tcPr>
            <w:tcW w:w="4128" w:type="dxa"/>
            <w:shd w:val="clear" w:color="auto" w:fill="auto"/>
            <w:tcMar>
              <w:top w:w="100" w:type="dxa"/>
              <w:left w:w="100" w:type="dxa"/>
              <w:bottom w:w="100" w:type="dxa"/>
              <w:right w:w="100" w:type="dxa"/>
            </w:tcMar>
          </w:tcPr>
          <w:p w14:paraId="121D9568" w14:textId="77777777" w:rsidR="001E1D2E" w:rsidRDefault="001E1D2E" w:rsidP="00A171CF">
            <w:r>
              <w:t>Would the attendance of the child or young person at the requested school or other institution be incompatible with</w:t>
            </w:r>
          </w:p>
          <w:p w14:paraId="13F9695C" w14:textId="77777777" w:rsidR="001E1D2E" w:rsidRPr="00631B55" w:rsidRDefault="001E1D2E" w:rsidP="00A171CF">
            <w:r w:rsidRPr="00631B55">
              <w:t>the efficient use of resources</w:t>
            </w:r>
            <w:r>
              <w:t>?</w:t>
            </w:r>
          </w:p>
          <w:p w14:paraId="624BB933" w14:textId="77777777" w:rsidR="001E1D2E" w:rsidRDefault="001E1D2E" w:rsidP="00A171CF">
            <w:pPr>
              <w:jc w:val="both"/>
            </w:pPr>
            <w:r>
              <w:t>Please outline the reasons and any evidence for this view</w:t>
            </w:r>
          </w:p>
        </w:tc>
        <w:tc>
          <w:tcPr>
            <w:tcW w:w="4961" w:type="dxa"/>
            <w:shd w:val="clear" w:color="auto" w:fill="auto"/>
            <w:tcMar>
              <w:top w:w="100" w:type="dxa"/>
              <w:left w:w="100" w:type="dxa"/>
              <w:bottom w:w="100" w:type="dxa"/>
              <w:right w:w="100" w:type="dxa"/>
            </w:tcMar>
          </w:tcPr>
          <w:p w14:paraId="0E0CBE02" w14:textId="28798AA4" w:rsidR="001E1D2E" w:rsidRPr="008A316D" w:rsidRDefault="001E1D2E" w:rsidP="00A171CF">
            <w:pPr>
              <w:widowControl w:val="0"/>
              <w:pBdr>
                <w:top w:val="nil"/>
                <w:left w:val="nil"/>
                <w:bottom w:val="nil"/>
                <w:right w:val="nil"/>
                <w:between w:val="nil"/>
              </w:pBdr>
              <w:rPr>
                <w:bCs/>
                <w:i/>
                <w:iCs/>
              </w:rPr>
            </w:pPr>
            <w:r w:rsidRPr="008A316D">
              <w:rPr>
                <w:bCs/>
                <w:i/>
                <w:iCs/>
              </w:rPr>
              <w:t>This is for the</w:t>
            </w:r>
            <w:r w:rsidR="008B07F7">
              <w:rPr>
                <w:bCs/>
                <w:i/>
                <w:iCs/>
              </w:rPr>
              <w:t xml:space="preserve"> judgement </w:t>
            </w:r>
            <w:r w:rsidRPr="008A316D">
              <w:rPr>
                <w:bCs/>
                <w:i/>
                <w:iCs/>
              </w:rPr>
              <w:t xml:space="preserve">of the placing LA, but the provider LA may </w:t>
            </w:r>
            <w:r w:rsidR="008B07F7">
              <w:rPr>
                <w:bCs/>
                <w:i/>
                <w:iCs/>
              </w:rPr>
              <w:t xml:space="preserve">have </w:t>
            </w:r>
            <w:r w:rsidRPr="008A316D">
              <w:rPr>
                <w:bCs/>
                <w:i/>
                <w:iCs/>
              </w:rPr>
              <w:t>a view or</w:t>
            </w:r>
            <w:r>
              <w:rPr>
                <w:bCs/>
                <w:i/>
                <w:iCs/>
              </w:rPr>
              <w:t xml:space="preserve"> any</w:t>
            </w:r>
            <w:r w:rsidRPr="008A316D">
              <w:rPr>
                <w:bCs/>
                <w:i/>
                <w:iCs/>
              </w:rPr>
              <w:t xml:space="preserve"> information</w:t>
            </w:r>
            <w:r w:rsidR="008B07F7">
              <w:rPr>
                <w:bCs/>
                <w:i/>
                <w:iCs/>
              </w:rPr>
              <w:t xml:space="preserve"> to contribute which would be helpful to the placing LA</w:t>
            </w:r>
          </w:p>
        </w:tc>
      </w:tr>
      <w:tr w:rsidR="001E1D2E" w14:paraId="4CD506D6" w14:textId="77777777" w:rsidTr="00BB6647">
        <w:tc>
          <w:tcPr>
            <w:tcW w:w="4128" w:type="dxa"/>
            <w:shd w:val="clear" w:color="auto" w:fill="auto"/>
            <w:tcMar>
              <w:top w:w="100" w:type="dxa"/>
              <w:left w:w="100" w:type="dxa"/>
              <w:bottom w:w="100" w:type="dxa"/>
              <w:right w:w="100" w:type="dxa"/>
            </w:tcMar>
          </w:tcPr>
          <w:p w14:paraId="126A8428" w14:textId="77777777" w:rsidR="001E1D2E" w:rsidRDefault="001E1D2E" w:rsidP="00A171CF">
            <w:pPr>
              <w:jc w:val="both"/>
            </w:pPr>
            <w:r>
              <w:t xml:space="preserve">What evidence is there </w:t>
            </w:r>
            <w:r w:rsidRPr="0045349A">
              <w:t>that there are no reasonable steps that the setting could take to prevent that incompatibility</w:t>
            </w:r>
            <w:r>
              <w:t xml:space="preserve"> with the efficient education for others and/or the efficient use of resources?</w:t>
            </w:r>
          </w:p>
        </w:tc>
        <w:tc>
          <w:tcPr>
            <w:tcW w:w="4961" w:type="dxa"/>
            <w:shd w:val="clear" w:color="auto" w:fill="auto"/>
            <w:tcMar>
              <w:top w:w="100" w:type="dxa"/>
              <w:left w:w="100" w:type="dxa"/>
              <w:bottom w:w="100" w:type="dxa"/>
              <w:right w:w="100" w:type="dxa"/>
            </w:tcMar>
          </w:tcPr>
          <w:p w14:paraId="1B5CA93B" w14:textId="77777777" w:rsidR="001E1D2E" w:rsidRDefault="001E1D2E" w:rsidP="00A171CF">
            <w:pPr>
              <w:widowControl w:val="0"/>
              <w:pBdr>
                <w:top w:val="nil"/>
                <w:left w:val="nil"/>
                <w:bottom w:val="nil"/>
                <w:right w:val="nil"/>
                <w:between w:val="nil"/>
              </w:pBdr>
              <w:rPr>
                <w:b/>
              </w:rPr>
            </w:pPr>
          </w:p>
        </w:tc>
      </w:tr>
      <w:tr w:rsidR="001E1D2E" w14:paraId="3C9459D5" w14:textId="77777777" w:rsidTr="00BB6647">
        <w:tc>
          <w:tcPr>
            <w:tcW w:w="4128" w:type="dxa"/>
            <w:shd w:val="clear" w:color="auto" w:fill="auto"/>
            <w:tcMar>
              <w:top w:w="100" w:type="dxa"/>
              <w:left w:w="100" w:type="dxa"/>
              <w:bottom w:w="100" w:type="dxa"/>
              <w:right w:w="100" w:type="dxa"/>
            </w:tcMar>
          </w:tcPr>
          <w:p w14:paraId="237427BF" w14:textId="77777777" w:rsidR="001E1D2E" w:rsidRDefault="001E1D2E" w:rsidP="00A171CF">
            <w:pPr>
              <w:jc w:val="both"/>
            </w:pPr>
            <w:r>
              <w:lastRenderedPageBreak/>
              <w:t>Anything else?</w:t>
            </w:r>
          </w:p>
          <w:p w14:paraId="3A25825C" w14:textId="77777777" w:rsidR="001E1D2E" w:rsidRDefault="001E1D2E" w:rsidP="00A171CF">
            <w:pPr>
              <w:jc w:val="both"/>
            </w:pPr>
          </w:p>
        </w:tc>
        <w:tc>
          <w:tcPr>
            <w:tcW w:w="4961" w:type="dxa"/>
            <w:shd w:val="clear" w:color="auto" w:fill="auto"/>
            <w:tcMar>
              <w:top w:w="100" w:type="dxa"/>
              <w:left w:w="100" w:type="dxa"/>
              <w:bottom w:w="100" w:type="dxa"/>
              <w:right w:w="100" w:type="dxa"/>
            </w:tcMar>
          </w:tcPr>
          <w:p w14:paraId="4C06D132" w14:textId="77777777" w:rsidR="001E1D2E" w:rsidRDefault="001E1D2E" w:rsidP="00A171CF">
            <w:pPr>
              <w:widowControl w:val="0"/>
              <w:pBdr>
                <w:top w:val="nil"/>
                <w:left w:val="nil"/>
                <w:bottom w:val="nil"/>
                <w:right w:val="nil"/>
                <w:between w:val="nil"/>
              </w:pBdr>
              <w:rPr>
                <w:b/>
              </w:rPr>
            </w:pPr>
          </w:p>
        </w:tc>
      </w:tr>
    </w:tbl>
    <w:p w14:paraId="22472516" w14:textId="77777777" w:rsidR="001E1D2E" w:rsidRDefault="001E1D2E" w:rsidP="001E1D2E"/>
    <w:p w14:paraId="1E667544" w14:textId="77777777" w:rsidR="001E1D2E" w:rsidRDefault="001E1D2E" w:rsidP="001E1D2E">
      <w:r>
        <w:t>Date of initial completion of form: ………………………………………</w:t>
      </w:r>
      <w:proofErr w:type="gramStart"/>
      <w:r>
        <w:t>…..</w:t>
      </w:r>
      <w:proofErr w:type="gramEnd"/>
    </w:p>
    <w:p w14:paraId="5BAD74FD" w14:textId="77777777" w:rsidR="001E1D2E" w:rsidRDefault="001E1D2E" w:rsidP="001E1D2E">
      <w:pPr>
        <w:pStyle w:val="ListParagraph"/>
        <w:rPr>
          <w:b/>
          <w:bCs/>
        </w:rPr>
      </w:pPr>
    </w:p>
    <w:p w14:paraId="2CF93510" w14:textId="77777777" w:rsidR="00BB6647" w:rsidRDefault="00BB6647" w:rsidP="001E1D2E">
      <w:pPr>
        <w:pStyle w:val="ListParagraph"/>
        <w:jc w:val="right"/>
        <w:rPr>
          <w:b/>
          <w:bCs/>
        </w:rPr>
      </w:pPr>
    </w:p>
    <w:p w14:paraId="06969DB8" w14:textId="77777777" w:rsidR="00BB6647" w:rsidRDefault="00BB6647" w:rsidP="001E1D2E">
      <w:pPr>
        <w:pStyle w:val="ListParagraph"/>
        <w:jc w:val="right"/>
        <w:rPr>
          <w:b/>
          <w:bCs/>
        </w:rPr>
      </w:pPr>
    </w:p>
    <w:p w14:paraId="747C8C21" w14:textId="77777777" w:rsidR="00BB6647" w:rsidRDefault="00BB6647" w:rsidP="001E1D2E">
      <w:pPr>
        <w:pStyle w:val="ListParagraph"/>
        <w:jc w:val="right"/>
        <w:rPr>
          <w:b/>
          <w:bCs/>
        </w:rPr>
      </w:pPr>
    </w:p>
    <w:p w14:paraId="77FB7BEC" w14:textId="77777777" w:rsidR="00BB6647" w:rsidRDefault="00BB6647" w:rsidP="001E1D2E">
      <w:pPr>
        <w:pStyle w:val="ListParagraph"/>
        <w:jc w:val="right"/>
        <w:rPr>
          <w:b/>
          <w:bCs/>
        </w:rPr>
      </w:pPr>
    </w:p>
    <w:p w14:paraId="4DC1BA46" w14:textId="77777777" w:rsidR="00BB6647" w:rsidRDefault="00BB6647" w:rsidP="001E1D2E">
      <w:pPr>
        <w:pStyle w:val="ListParagraph"/>
        <w:jc w:val="right"/>
        <w:rPr>
          <w:b/>
          <w:bCs/>
        </w:rPr>
      </w:pPr>
    </w:p>
    <w:p w14:paraId="4569D0E6" w14:textId="77777777" w:rsidR="00BB6647" w:rsidRDefault="00BB6647" w:rsidP="001E1D2E">
      <w:pPr>
        <w:pStyle w:val="ListParagraph"/>
        <w:jc w:val="right"/>
        <w:rPr>
          <w:b/>
          <w:bCs/>
        </w:rPr>
      </w:pPr>
    </w:p>
    <w:p w14:paraId="50278F2A" w14:textId="77777777" w:rsidR="00BB6647" w:rsidRDefault="00BB6647" w:rsidP="001E1D2E">
      <w:pPr>
        <w:pStyle w:val="ListParagraph"/>
        <w:jc w:val="right"/>
        <w:rPr>
          <w:b/>
          <w:bCs/>
        </w:rPr>
      </w:pPr>
    </w:p>
    <w:p w14:paraId="1E13DE06" w14:textId="77777777" w:rsidR="00BB6647" w:rsidRDefault="00BB6647" w:rsidP="001E1D2E">
      <w:pPr>
        <w:pStyle w:val="ListParagraph"/>
        <w:jc w:val="right"/>
        <w:rPr>
          <w:b/>
          <w:bCs/>
        </w:rPr>
      </w:pPr>
    </w:p>
    <w:p w14:paraId="5EB63CEB" w14:textId="77777777" w:rsidR="00BB6647" w:rsidRDefault="00BB6647" w:rsidP="001E1D2E">
      <w:pPr>
        <w:pStyle w:val="ListParagraph"/>
        <w:jc w:val="right"/>
        <w:rPr>
          <w:b/>
          <w:bCs/>
        </w:rPr>
      </w:pPr>
    </w:p>
    <w:p w14:paraId="49893141" w14:textId="77777777" w:rsidR="00BB6647" w:rsidRDefault="00BB6647" w:rsidP="001E1D2E">
      <w:pPr>
        <w:pStyle w:val="ListParagraph"/>
        <w:jc w:val="right"/>
        <w:rPr>
          <w:b/>
          <w:bCs/>
        </w:rPr>
      </w:pPr>
    </w:p>
    <w:p w14:paraId="625F3F46" w14:textId="77777777" w:rsidR="00BB6647" w:rsidRDefault="00BB6647" w:rsidP="001E1D2E">
      <w:pPr>
        <w:pStyle w:val="ListParagraph"/>
        <w:jc w:val="right"/>
        <w:rPr>
          <w:b/>
          <w:bCs/>
        </w:rPr>
      </w:pPr>
    </w:p>
    <w:p w14:paraId="7DF17F3F" w14:textId="77777777" w:rsidR="00BB6647" w:rsidRDefault="00BB6647" w:rsidP="001E1D2E">
      <w:pPr>
        <w:pStyle w:val="ListParagraph"/>
        <w:jc w:val="right"/>
        <w:rPr>
          <w:b/>
          <w:bCs/>
        </w:rPr>
      </w:pPr>
    </w:p>
    <w:p w14:paraId="32F0240A" w14:textId="77777777" w:rsidR="00BB6647" w:rsidRDefault="00BB6647" w:rsidP="001E1D2E">
      <w:pPr>
        <w:pStyle w:val="ListParagraph"/>
        <w:jc w:val="right"/>
        <w:rPr>
          <w:b/>
          <w:bCs/>
        </w:rPr>
      </w:pPr>
    </w:p>
    <w:p w14:paraId="3210D625" w14:textId="77777777" w:rsidR="00BB6647" w:rsidRDefault="00BB6647" w:rsidP="001E1D2E">
      <w:pPr>
        <w:pStyle w:val="ListParagraph"/>
        <w:jc w:val="right"/>
        <w:rPr>
          <w:b/>
          <w:bCs/>
        </w:rPr>
      </w:pPr>
    </w:p>
    <w:p w14:paraId="0FEF55E1" w14:textId="77777777" w:rsidR="00BB6647" w:rsidRDefault="00BB6647" w:rsidP="001E1D2E">
      <w:pPr>
        <w:pStyle w:val="ListParagraph"/>
        <w:jc w:val="right"/>
        <w:rPr>
          <w:b/>
          <w:bCs/>
        </w:rPr>
      </w:pPr>
    </w:p>
    <w:p w14:paraId="7F11450E" w14:textId="77777777" w:rsidR="00BB6647" w:rsidRDefault="00BB6647" w:rsidP="001E1D2E">
      <w:pPr>
        <w:pStyle w:val="ListParagraph"/>
        <w:jc w:val="right"/>
        <w:rPr>
          <w:b/>
          <w:bCs/>
        </w:rPr>
      </w:pPr>
    </w:p>
    <w:p w14:paraId="29FB8AF6" w14:textId="77777777" w:rsidR="00BB6647" w:rsidRDefault="00BB6647" w:rsidP="001E1D2E">
      <w:pPr>
        <w:pStyle w:val="ListParagraph"/>
        <w:jc w:val="right"/>
        <w:rPr>
          <w:b/>
          <w:bCs/>
        </w:rPr>
      </w:pPr>
    </w:p>
    <w:p w14:paraId="7ED4F63E" w14:textId="77777777" w:rsidR="00BB6647" w:rsidRDefault="00BB6647" w:rsidP="001E1D2E">
      <w:pPr>
        <w:pStyle w:val="ListParagraph"/>
        <w:jc w:val="right"/>
        <w:rPr>
          <w:b/>
          <w:bCs/>
        </w:rPr>
      </w:pPr>
    </w:p>
    <w:p w14:paraId="17B7F46D" w14:textId="77777777" w:rsidR="00BB6647" w:rsidRDefault="00BB6647" w:rsidP="001E1D2E">
      <w:pPr>
        <w:pStyle w:val="ListParagraph"/>
        <w:jc w:val="right"/>
        <w:rPr>
          <w:b/>
          <w:bCs/>
        </w:rPr>
      </w:pPr>
    </w:p>
    <w:p w14:paraId="3D6230A3" w14:textId="77777777" w:rsidR="00BB6647" w:rsidRDefault="00BB6647" w:rsidP="001E1D2E">
      <w:pPr>
        <w:pStyle w:val="ListParagraph"/>
        <w:jc w:val="right"/>
        <w:rPr>
          <w:b/>
          <w:bCs/>
        </w:rPr>
      </w:pPr>
    </w:p>
    <w:p w14:paraId="7EBCD07D" w14:textId="77777777" w:rsidR="00BB6647" w:rsidRDefault="00BB6647" w:rsidP="001E1D2E">
      <w:pPr>
        <w:pStyle w:val="ListParagraph"/>
        <w:jc w:val="right"/>
        <w:rPr>
          <w:b/>
          <w:bCs/>
        </w:rPr>
      </w:pPr>
    </w:p>
    <w:p w14:paraId="42B29DFD" w14:textId="77777777" w:rsidR="00BB6647" w:rsidRDefault="00BB6647" w:rsidP="001E1D2E">
      <w:pPr>
        <w:pStyle w:val="ListParagraph"/>
        <w:jc w:val="right"/>
        <w:rPr>
          <w:b/>
          <w:bCs/>
        </w:rPr>
      </w:pPr>
    </w:p>
    <w:p w14:paraId="6692BDD3" w14:textId="77777777" w:rsidR="00BB6647" w:rsidRDefault="00BB6647" w:rsidP="001E1D2E">
      <w:pPr>
        <w:pStyle w:val="ListParagraph"/>
        <w:jc w:val="right"/>
        <w:rPr>
          <w:b/>
          <w:bCs/>
        </w:rPr>
      </w:pPr>
    </w:p>
    <w:p w14:paraId="761E8D36" w14:textId="77777777" w:rsidR="00BB6647" w:rsidRDefault="00BB6647" w:rsidP="001E1D2E">
      <w:pPr>
        <w:pStyle w:val="ListParagraph"/>
        <w:jc w:val="right"/>
        <w:rPr>
          <w:b/>
          <w:bCs/>
        </w:rPr>
      </w:pPr>
    </w:p>
    <w:p w14:paraId="0E532849" w14:textId="77777777" w:rsidR="00BB6647" w:rsidRDefault="00BB6647" w:rsidP="001E1D2E">
      <w:pPr>
        <w:pStyle w:val="ListParagraph"/>
        <w:jc w:val="right"/>
        <w:rPr>
          <w:b/>
          <w:bCs/>
        </w:rPr>
      </w:pPr>
    </w:p>
    <w:p w14:paraId="6F15DB18" w14:textId="77777777" w:rsidR="00BB6647" w:rsidRDefault="00BB6647" w:rsidP="001E1D2E">
      <w:pPr>
        <w:pStyle w:val="ListParagraph"/>
        <w:jc w:val="right"/>
        <w:rPr>
          <w:b/>
          <w:bCs/>
        </w:rPr>
      </w:pPr>
    </w:p>
    <w:p w14:paraId="234F608F" w14:textId="77777777" w:rsidR="00BB6647" w:rsidRDefault="00BB6647" w:rsidP="001E1D2E">
      <w:pPr>
        <w:pStyle w:val="ListParagraph"/>
        <w:jc w:val="right"/>
        <w:rPr>
          <w:b/>
          <w:bCs/>
        </w:rPr>
      </w:pPr>
    </w:p>
    <w:p w14:paraId="7E80F764" w14:textId="77777777" w:rsidR="00BB6647" w:rsidRDefault="00BB6647" w:rsidP="001E1D2E">
      <w:pPr>
        <w:pStyle w:val="ListParagraph"/>
        <w:jc w:val="right"/>
        <w:rPr>
          <w:b/>
          <w:bCs/>
        </w:rPr>
      </w:pPr>
    </w:p>
    <w:p w14:paraId="6CAA2116" w14:textId="77777777" w:rsidR="00BB6647" w:rsidRDefault="00BB6647" w:rsidP="001E1D2E">
      <w:pPr>
        <w:pStyle w:val="ListParagraph"/>
        <w:jc w:val="right"/>
        <w:rPr>
          <w:b/>
          <w:bCs/>
        </w:rPr>
      </w:pPr>
    </w:p>
    <w:p w14:paraId="64F40399" w14:textId="77777777" w:rsidR="00BB6647" w:rsidRDefault="00BB6647" w:rsidP="001E1D2E">
      <w:pPr>
        <w:pStyle w:val="ListParagraph"/>
        <w:jc w:val="right"/>
        <w:rPr>
          <w:b/>
          <w:bCs/>
        </w:rPr>
      </w:pPr>
    </w:p>
    <w:p w14:paraId="70452671" w14:textId="77777777" w:rsidR="00BB6647" w:rsidRDefault="00BB6647" w:rsidP="001E1D2E">
      <w:pPr>
        <w:pStyle w:val="ListParagraph"/>
        <w:jc w:val="right"/>
        <w:rPr>
          <w:b/>
          <w:bCs/>
        </w:rPr>
      </w:pPr>
    </w:p>
    <w:p w14:paraId="73EEA4FD" w14:textId="77777777" w:rsidR="00BB6647" w:rsidRDefault="00BB6647" w:rsidP="001E1D2E">
      <w:pPr>
        <w:pStyle w:val="ListParagraph"/>
        <w:jc w:val="right"/>
        <w:rPr>
          <w:b/>
          <w:bCs/>
        </w:rPr>
      </w:pPr>
    </w:p>
    <w:p w14:paraId="19AE33AA" w14:textId="77777777" w:rsidR="00BB6647" w:rsidRDefault="00BB6647" w:rsidP="001E1D2E">
      <w:pPr>
        <w:pStyle w:val="ListParagraph"/>
        <w:jc w:val="right"/>
        <w:rPr>
          <w:b/>
          <w:bCs/>
        </w:rPr>
      </w:pPr>
    </w:p>
    <w:p w14:paraId="5BF92A39" w14:textId="77777777" w:rsidR="00BB6647" w:rsidRDefault="00BB6647" w:rsidP="001E1D2E">
      <w:pPr>
        <w:pStyle w:val="ListParagraph"/>
        <w:jc w:val="right"/>
        <w:rPr>
          <w:b/>
          <w:bCs/>
        </w:rPr>
      </w:pPr>
    </w:p>
    <w:p w14:paraId="2120A67D" w14:textId="77777777" w:rsidR="00BB6647" w:rsidRDefault="00BB6647" w:rsidP="001E1D2E">
      <w:pPr>
        <w:pStyle w:val="ListParagraph"/>
        <w:jc w:val="right"/>
        <w:rPr>
          <w:b/>
          <w:bCs/>
        </w:rPr>
      </w:pPr>
    </w:p>
    <w:p w14:paraId="190F7744" w14:textId="77777777" w:rsidR="00BB6647" w:rsidRDefault="00BB6647" w:rsidP="001E1D2E">
      <w:pPr>
        <w:pStyle w:val="ListParagraph"/>
        <w:jc w:val="right"/>
        <w:rPr>
          <w:b/>
          <w:bCs/>
        </w:rPr>
      </w:pPr>
    </w:p>
    <w:p w14:paraId="3DC54523" w14:textId="77777777" w:rsidR="00BB6647" w:rsidRDefault="00BB6647" w:rsidP="001E1D2E">
      <w:pPr>
        <w:pStyle w:val="ListParagraph"/>
        <w:jc w:val="right"/>
        <w:rPr>
          <w:b/>
          <w:bCs/>
        </w:rPr>
      </w:pPr>
    </w:p>
    <w:p w14:paraId="1C073AEC" w14:textId="015F3D74" w:rsidR="001E1D2E" w:rsidRDefault="001E1D2E" w:rsidP="001E1D2E">
      <w:pPr>
        <w:pStyle w:val="ListParagraph"/>
        <w:jc w:val="right"/>
        <w:rPr>
          <w:b/>
          <w:bCs/>
        </w:rPr>
      </w:pPr>
      <w:r w:rsidRPr="007D4506">
        <w:rPr>
          <w:b/>
          <w:bCs/>
        </w:rPr>
        <w:lastRenderedPageBreak/>
        <w:t>Appendix 2</w:t>
      </w:r>
    </w:p>
    <w:p w14:paraId="5C6C4048" w14:textId="1C950ECE" w:rsidR="001E1D2E" w:rsidRDefault="001E1D2E" w:rsidP="001E1D2E">
      <w:pPr>
        <w:pStyle w:val="ListParagraph"/>
        <w:rPr>
          <w:b/>
          <w:bCs/>
        </w:rPr>
      </w:pPr>
      <w:r>
        <w:rPr>
          <w:b/>
          <w:bCs/>
        </w:rPr>
        <w:t>LA contact officers</w:t>
      </w:r>
      <w:r w:rsidR="00BB6647">
        <w:rPr>
          <w:b/>
          <w:bCs/>
        </w:rPr>
        <w:t xml:space="preserve"> (as of November 2024)</w:t>
      </w:r>
    </w:p>
    <w:p w14:paraId="3FEAEE1C" w14:textId="77777777" w:rsidR="001E1D2E" w:rsidRPr="007D4506" w:rsidRDefault="001E1D2E" w:rsidP="001E1D2E">
      <w:pPr>
        <w:pStyle w:val="ListParagraph"/>
        <w:rPr>
          <w:b/>
          <w:bCs/>
        </w:rPr>
      </w:pPr>
    </w:p>
    <w:tbl>
      <w:tblPr>
        <w:tblStyle w:val="TableGrid"/>
        <w:tblW w:w="9213" w:type="dxa"/>
        <w:tblInd w:w="421" w:type="dxa"/>
        <w:tblLayout w:type="fixed"/>
        <w:tblLook w:val="04A0" w:firstRow="1" w:lastRow="0" w:firstColumn="1" w:lastColumn="0" w:noHBand="0" w:noVBand="1"/>
      </w:tblPr>
      <w:tblGrid>
        <w:gridCol w:w="2126"/>
        <w:gridCol w:w="2410"/>
        <w:gridCol w:w="4677"/>
      </w:tblGrid>
      <w:tr w:rsidR="001E1D2E" w14:paraId="0054C2F2" w14:textId="77777777" w:rsidTr="00A171CF">
        <w:tc>
          <w:tcPr>
            <w:tcW w:w="2126" w:type="dxa"/>
            <w:tcBorders>
              <w:top w:val="single" w:sz="4" w:space="0" w:color="auto"/>
              <w:left w:val="single" w:sz="4" w:space="0" w:color="auto"/>
              <w:bottom w:val="single" w:sz="4" w:space="0" w:color="auto"/>
              <w:right w:val="single" w:sz="4" w:space="0" w:color="auto"/>
            </w:tcBorders>
          </w:tcPr>
          <w:p w14:paraId="32BD8DDA" w14:textId="77777777" w:rsidR="001E1D2E" w:rsidRPr="006A3A03" w:rsidRDefault="001E1D2E" w:rsidP="00A171CF">
            <w:pPr>
              <w:rPr>
                <w:b/>
              </w:rPr>
            </w:pPr>
            <w:r w:rsidRPr="006A3A03">
              <w:rPr>
                <w:b/>
              </w:rPr>
              <w:t>Local authority</w:t>
            </w:r>
          </w:p>
          <w:p w14:paraId="2CF7AA54" w14:textId="77777777" w:rsidR="001E1D2E" w:rsidRPr="006A3A03" w:rsidRDefault="001E1D2E" w:rsidP="00A171CF">
            <w:pPr>
              <w:rPr>
                <w:b/>
              </w:rPr>
            </w:pPr>
            <w:r w:rsidRPr="006A3A03">
              <w:rPr>
                <w:b/>
              </w:rPr>
              <w:t>(panel frequency)</w:t>
            </w:r>
          </w:p>
          <w:p w14:paraId="344E32F5" w14:textId="77777777" w:rsidR="001E1D2E" w:rsidRPr="006A3A03" w:rsidRDefault="001E1D2E" w:rsidP="00A171CF">
            <w:pPr>
              <w:rPr>
                <w:b/>
              </w:rPr>
            </w:pPr>
          </w:p>
        </w:tc>
        <w:tc>
          <w:tcPr>
            <w:tcW w:w="2410" w:type="dxa"/>
            <w:tcBorders>
              <w:top w:val="single" w:sz="4" w:space="0" w:color="auto"/>
              <w:left w:val="single" w:sz="4" w:space="0" w:color="auto"/>
              <w:bottom w:val="single" w:sz="4" w:space="0" w:color="auto"/>
              <w:right w:val="single" w:sz="4" w:space="0" w:color="auto"/>
            </w:tcBorders>
            <w:hideMark/>
          </w:tcPr>
          <w:p w14:paraId="37059DB2" w14:textId="77777777" w:rsidR="001E1D2E" w:rsidRDefault="001E1D2E" w:rsidP="00A171CF">
            <w:pPr>
              <w:rPr>
                <w:b/>
              </w:rPr>
            </w:pPr>
            <w:r>
              <w:rPr>
                <w:b/>
              </w:rPr>
              <w:t>Name(s) of link officer(s)</w:t>
            </w:r>
          </w:p>
          <w:p w14:paraId="6D7F9472" w14:textId="77777777" w:rsidR="001E1D2E" w:rsidRDefault="001E1D2E" w:rsidP="00A171CF">
            <w:pPr>
              <w:rPr>
                <w:b/>
              </w:rPr>
            </w:pPr>
          </w:p>
        </w:tc>
        <w:tc>
          <w:tcPr>
            <w:tcW w:w="4677" w:type="dxa"/>
            <w:tcBorders>
              <w:top w:val="single" w:sz="4" w:space="0" w:color="auto"/>
              <w:left w:val="single" w:sz="4" w:space="0" w:color="auto"/>
              <w:bottom w:val="single" w:sz="4" w:space="0" w:color="auto"/>
              <w:right w:val="single" w:sz="4" w:space="0" w:color="auto"/>
            </w:tcBorders>
            <w:hideMark/>
          </w:tcPr>
          <w:p w14:paraId="526ED100" w14:textId="77777777" w:rsidR="001E1D2E" w:rsidRDefault="001E1D2E" w:rsidP="00A171CF">
            <w:pPr>
              <w:rPr>
                <w:b/>
              </w:rPr>
            </w:pPr>
            <w:r>
              <w:rPr>
                <w:b/>
              </w:rPr>
              <w:t>Contact details (email and phone)</w:t>
            </w:r>
          </w:p>
        </w:tc>
      </w:tr>
      <w:tr w:rsidR="001E1D2E" w14:paraId="2EB3BA31" w14:textId="77777777" w:rsidTr="00A171CF">
        <w:tc>
          <w:tcPr>
            <w:tcW w:w="2126" w:type="dxa"/>
            <w:tcBorders>
              <w:top w:val="single" w:sz="4" w:space="0" w:color="auto"/>
              <w:left w:val="single" w:sz="4" w:space="0" w:color="auto"/>
              <w:bottom w:val="single" w:sz="4" w:space="0" w:color="auto"/>
              <w:right w:val="single" w:sz="4" w:space="0" w:color="auto"/>
            </w:tcBorders>
            <w:hideMark/>
          </w:tcPr>
          <w:p w14:paraId="4EC77E80" w14:textId="77777777" w:rsidR="001E1D2E" w:rsidRPr="006A3A03" w:rsidRDefault="001E1D2E" w:rsidP="00A171CF">
            <w:pPr>
              <w:rPr>
                <w:rFonts w:eastAsia="Calibri" w:cs="Arial"/>
              </w:rPr>
            </w:pPr>
            <w:r w:rsidRPr="006A3A03">
              <w:rPr>
                <w:rFonts w:eastAsia="Calibri" w:cs="Arial"/>
              </w:rPr>
              <w:t>Bedford Borough</w:t>
            </w:r>
          </w:p>
          <w:p w14:paraId="564CE45E" w14:textId="77777777" w:rsidR="001E1D2E" w:rsidRPr="006A3A03" w:rsidRDefault="001E1D2E" w:rsidP="00A171CF">
            <w:pPr>
              <w:rPr>
                <w:rFonts w:eastAsia="Calibri" w:cs="Arial"/>
              </w:rPr>
            </w:pPr>
            <w:r w:rsidRPr="006A3A03">
              <w:rPr>
                <w:rFonts w:eastAsia="Calibri" w:cs="Arial"/>
              </w:rPr>
              <w:t>(fortnightly)</w:t>
            </w:r>
          </w:p>
        </w:tc>
        <w:tc>
          <w:tcPr>
            <w:tcW w:w="2410" w:type="dxa"/>
            <w:tcBorders>
              <w:top w:val="single" w:sz="4" w:space="0" w:color="auto"/>
              <w:left w:val="single" w:sz="4" w:space="0" w:color="auto"/>
              <w:bottom w:val="single" w:sz="4" w:space="0" w:color="auto"/>
              <w:right w:val="single" w:sz="4" w:space="0" w:color="auto"/>
            </w:tcBorders>
          </w:tcPr>
          <w:p w14:paraId="5EE1D9A4" w14:textId="77777777" w:rsidR="001E1D2E" w:rsidRDefault="001E1D2E" w:rsidP="00A171CF">
            <w:pPr>
              <w:rPr>
                <w:rFonts w:eastAsia="Calibri" w:cs="Arial"/>
              </w:rPr>
            </w:pPr>
            <w:r>
              <w:rPr>
                <w:rFonts w:eastAsia="Calibri" w:cs="Arial"/>
              </w:rPr>
              <w:t>Michelle Docking</w:t>
            </w:r>
          </w:p>
          <w:p w14:paraId="19674D36" w14:textId="77777777" w:rsidR="001E1D2E" w:rsidRDefault="001E1D2E" w:rsidP="00A171CF">
            <w:pPr>
              <w:rPr>
                <w:rFonts w:eastAsia="Calibri" w:cs="Arial"/>
              </w:rPr>
            </w:pPr>
          </w:p>
        </w:tc>
        <w:tc>
          <w:tcPr>
            <w:tcW w:w="4677" w:type="dxa"/>
            <w:tcBorders>
              <w:top w:val="single" w:sz="4" w:space="0" w:color="auto"/>
              <w:left w:val="single" w:sz="4" w:space="0" w:color="auto"/>
              <w:bottom w:val="single" w:sz="4" w:space="0" w:color="auto"/>
              <w:right w:val="single" w:sz="4" w:space="0" w:color="auto"/>
            </w:tcBorders>
          </w:tcPr>
          <w:p w14:paraId="2B09C1EC" w14:textId="77777777" w:rsidR="001E1D2E" w:rsidRDefault="001E1D2E" w:rsidP="00A171CF">
            <w:pPr>
              <w:rPr>
                <w:rFonts w:cs="Arial"/>
                <w:lang w:eastAsia="en-GB"/>
              </w:rPr>
            </w:pPr>
            <w:hyperlink r:id="rId18" w:history="1">
              <w:r w:rsidRPr="0041450D">
                <w:rPr>
                  <w:rStyle w:val="Hyperlink"/>
                  <w:rFonts w:cs="Arial"/>
                  <w:lang w:eastAsia="en-GB"/>
                </w:rPr>
                <w:t>Michelle.Docking@bedford.gov.uk</w:t>
              </w:r>
            </w:hyperlink>
            <w:r>
              <w:rPr>
                <w:rFonts w:cs="Arial"/>
                <w:lang w:eastAsia="en-GB"/>
              </w:rPr>
              <w:t xml:space="preserve"> </w:t>
            </w:r>
          </w:p>
          <w:p w14:paraId="30614224" w14:textId="77777777" w:rsidR="001E1D2E" w:rsidRDefault="001E1D2E" w:rsidP="00A171CF">
            <w:pPr>
              <w:rPr>
                <w:rFonts w:cs="Arial"/>
                <w:lang w:eastAsia="en-GB"/>
              </w:rPr>
            </w:pPr>
            <w:r>
              <w:rPr>
                <w:rFonts w:cs="Arial"/>
                <w:lang w:eastAsia="en-GB"/>
              </w:rPr>
              <w:t>01234 228458 </w:t>
            </w:r>
          </w:p>
          <w:p w14:paraId="1E333CE4" w14:textId="77777777" w:rsidR="001E1D2E" w:rsidRDefault="001E1D2E" w:rsidP="00A171CF"/>
        </w:tc>
      </w:tr>
      <w:tr w:rsidR="001E1D2E" w14:paraId="2E701BC7" w14:textId="77777777" w:rsidTr="00A171CF">
        <w:tc>
          <w:tcPr>
            <w:tcW w:w="2126" w:type="dxa"/>
            <w:tcBorders>
              <w:top w:val="single" w:sz="4" w:space="0" w:color="auto"/>
              <w:left w:val="single" w:sz="4" w:space="0" w:color="auto"/>
              <w:bottom w:val="single" w:sz="4" w:space="0" w:color="auto"/>
              <w:right w:val="single" w:sz="4" w:space="0" w:color="auto"/>
            </w:tcBorders>
          </w:tcPr>
          <w:p w14:paraId="3FFAA897" w14:textId="77777777" w:rsidR="001E1D2E" w:rsidRPr="006A3A03" w:rsidRDefault="001E1D2E" w:rsidP="00A171CF">
            <w:pPr>
              <w:rPr>
                <w:rFonts w:eastAsia="Calibri" w:cs="Arial"/>
              </w:rPr>
            </w:pPr>
            <w:r w:rsidRPr="006A3A03">
              <w:rPr>
                <w:rFonts w:eastAsia="Calibri" w:cs="Arial"/>
              </w:rPr>
              <w:t>Cambridgeshire</w:t>
            </w:r>
          </w:p>
          <w:p w14:paraId="0E228AF1" w14:textId="77777777" w:rsidR="001E1D2E" w:rsidRPr="006A3A03" w:rsidRDefault="001E1D2E" w:rsidP="00A171CF">
            <w:pPr>
              <w:rPr>
                <w:rFonts w:eastAsia="Calibri" w:cs="Arial"/>
              </w:rPr>
            </w:pPr>
            <w:r w:rsidRPr="006A3A03">
              <w:rPr>
                <w:rFonts w:eastAsia="Calibri" w:cs="Arial"/>
              </w:rPr>
              <w:t>(weekly and 3-weekly)</w:t>
            </w:r>
          </w:p>
          <w:p w14:paraId="5E38EA1C"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tcPr>
          <w:p w14:paraId="487A149B" w14:textId="77777777" w:rsidR="001E1D2E" w:rsidRDefault="001E1D2E" w:rsidP="00A171CF">
            <w:pPr>
              <w:rPr>
                <w:sz w:val="22"/>
              </w:rPr>
            </w:pPr>
            <w:r>
              <w:rPr>
                <w:sz w:val="22"/>
              </w:rPr>
              <w:t xml:space="preserve">Katy Blessett </w:t>
            </w:r>
          </w:p>
          <w:p w14:paraId="0E754F62" w14:textId="77777777" w:rsidR="001E1D2E" w:rsidRDefault="001E1D2E" w:rsidP="00A171CF">
            <w:pPr>
              <w:rPr>
                <w:sz w:val="22"/>
              </w:rPr>
            </w:pPr>
          </w:p>
          <w:p w14:paraId="45732A9C" w14:textId="77777777" w:rsidR="001E1D2E" w:rsidRDefault="001E1D2E" w:rsidP="00A171CF">
            <w:pPr>
              <w:rPr>
                <w:rFonts w:eastAsia="Calibri" w:cs="Arial"/>
              </w:rPr>
            </w:pPr>
            <w:r>
              <w:rPr>
                <w:sz w:val="22"/>
              </w:rPr>
              <w:t xml:space="preserve">Rachael Tomlin </w:t>
            </w:r>
          </w:p>
        </w:tc>
        <w:tc>
          <w:tcPr>
            <w:tcW w:w="4677" w:type="dxa"/>
            <w:tcBorders>
              <w:top w:val="single" w:sz="4" w:space="0" w:color="auto"/>
              <w:left w:val="single" w:sz="4" w:space="0" w:color="auto"/>
              <w:bottom w:val="single" w:sz="4" w:space="0" w:color="auto"/>
              <w:right w:val="single" w:sz="4" w:space="0" w:color="auto"/>
            </w:tcBorders>
          </w:tcPr>
          <w:p w14:paraId="6E366B80" w14:textId="77777777" w:rsidR="001E1D2E" w:rsidRDefault="001E1D2E" w:rsidP="00A171CF">
            <w:hyperlink r:id="rId19" w:history="1">
              <w:r w:rsidRPr="002E34D8">
                <w:rPr>
                  <w:rStyle w:val="Hyperlink"/>
                </w:rPr>
                <w:t>Katy.Blessett@cambridgeshire.gov.uk</w:t>
              </w:r>
            </w:hyperlink>
            <w:r>
              <w:t xml:space="preserve"> </w:t>
            </w:r>
          </w:p>
          <w:p w14:paraId="38C6FC9F" w14:textId="77777777" w:rsidR="001E1D2E" w:rsidRDefault="001E1D2E" w:rsidP="00A171CF"/>
          <w:p w14:paraId="44D621A0" w14:textId="77777777" w:rsidR="001E1D2E" w:rsidRDefault="001E1D2E" w:rsidP="00A171CF">
            <w:pPr>
              <w:rPr>
                <w:sz w:val="22"/>
              </w:rPr>
            </w:pPr>
            <w:hyperlink r:id="rId20" w:history="1">
              <w:r>
                <w:rPr>
                  <w:rStyle w:val="Hyperlink"/>
                  <w:sz w:val="22"/>
                </w:rPr>
                <w:t>Rachael.Tomlin@cambridgeshire.gov.uk</w:t>
              </w:r>
            </w:hyperlink>
            <w:r>
              <w:rPr>
                <w:sz w:val="22"/>
              </w:rPr>
              <w:t xml:space="preserve"> 01480 372213</w:t>
            </w:r>
          </w:p>
          <w:p w14:paraId="65D4C400" w14:textId="77777777" w:rsidR="001E1D2E" w:rsidRDefault="001E1D2E" w:rsidP="00A171CF"/>
        </w:tc>
      </w:tr>
      <w:tr w:rsidR="001E1D2E" w14:paraId="493C4F15" w14:textId="77777777" w:rsidTr="00A171CF">
        <w:tc>
          <w:tcPr>
            <w:tcW w:w="2126" w:type="dxa"/>
            <w:tcBorders>
              <w:top w:val="single" w:sz="4" w:space="0" w:color="auto"/>
              <w:left w:val="single" w:sz="4" w:space="0" w:color="auto"/>
              <w:bottom w:val="single" w:sz="4" w:space="0" w:color="auto"/>
              <w:right w:val="single" w:sz="4" w:space="0" w:color="auto"/>
            </w:tcBorders>
          </w:tcPr>
          <w:p w14:paraId="1DE66ABA" w14:textId="77777777" w:rsidR="001E1D2E" w:rsidRPr="006A3A03" w:rsidRDefault="001E1D2E" w:rsidP="00A171CF">
            <w:pPr>
              <w:rPr>
                <w:rFonts w:eastAsia="Calibri" w:cs="Arial"/>
              </w:rPr>
            </w:pPr>
            <w:r w:rsidRPr="006A3A03">
              <w:rPr>
                <w:rFonts w:eastAsia="Calibri" w:cs="Arial"/>
              </w:rPr>
              <w:t>Central Beds</w:t>
            </w:r>
          </w:p>
          <w:p w14:paraId="2B991559" w14:textId="77777777" w:rsidR="001E1D2E" w:rsidRPr="006A3A03" w:rsidRDefault="001E1D2E" w:rsidP="00A171CF">
            <w:pPr>
              <w:rPr>
                <w:rFonts w:eastAsia="Calibri" w:cs="Arial"/>
              </w:rPr>
            </w:pPr>
            <w:r w:rsidRPr="006A3A03">
              <w:rPr>
                <w:rFonts w:eastAsia="Calibri" w:cs="Arial"/>
              </w:rPr>
              <w:t>(fortnightly)</w:t>
            </w:r>
          </w:p>
          <w:p w14:paraId="2AD4BE84"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tcPr>
          <w:p w14:paraId="3E9D96DC" w14:textId="77777777" w:rsidR="001E1D2E" w:rsidRDefault="001E1D2E" w:rsidP="00A171CF">
            <w:pPr>
              <w:rPr>
                <w:rFonts w:eastAsia="Calibri" w:cs="Arial"/>
              </w:rPr>
            </w:pPr>
            <w:r>
              <w:t>Joe Watts</w:t>
            </w:r>
          </w:p>
          <w:p w14:paraId="3EB145A5" w14:textId="77777777" w:rsidR="001E1D2E" w:rsidRDefault="001E1D2E" w:rsidP="00A171CF">
            <w:pPr>
              <w:rPr>
                <w:rFonts w:eastAsia="Calibri" w:cs="Arial"/>
              </w:rPr>
            </w:pPr>
          </w:p>
        </w:tc>
        <w:tc>
          <w:tcPr>
            <w:tcW w:w="4677" w:type="dxa"/>
            <w:tcBorders>
              <w:top w:val="single" w:sz="4" w:space="0" w:color="auto"/>
              <w:left w:val="single" w:sz="4" w:space="0" w:color="auto"/>
              <w:bottom w:val="single" w:sz="4" w:space="0" w:color="auto"/>
              <w:right w:val="single" w:sz="4" w:space="0" w:color="auto"/>
            </w:tcBorders>
          </w:tcPr>
          <w:p w14:paraId="31C9AEF9" w14:textId="77777777" w:rsidR="001E1D2E" w:rsidRDefault="001E1D2E" w:rsidP="00A171CF">
            <w:hyperlink r:id="rId21" w:history="1">
              <w:r>
                <w:rPr>
                  <w:rStyle w:val="Hyperlink"/>
                </w:rPr>
                <w:t>Joe.Watts@centralbedfordshire.gov.uk</w:t>
              </w:r>
            </w:hyperlink>
            <w:r>
              <w:t xml:space="preserve"> </w:t>
            </w:r>
          </w:p>
          <w:p w14:paraId="214A4CBE" w14:textId="77777777" w:rsidR="001E1D2E" w:rsidRDefault="001E1D2E" w:rsidP="00A171CF">
            <w:pPr>
              <w:rPr>
                <w:lang w:eastAsia="en-GB"/>
              </w:rPr>
            </w:pPr>
            <w:r>
              <w:rPr>
                <w:lang w:eastAsia="en-GB"/>
              </w:rPr>
              <w:t>0300 300 4734</w:t>
            </w:r>
          </w:p>
          <w:p w14:paraId="3A6ED709" w14:textId="77777777" w:rsidR="001E1D2E" w:rsidRDefault="001E1D2E" w:rsidP="00A171CF"/>
        </w:tc>
      </w:tr>
      <w:tr w:rsidR="001E1D2E" w14:paraId="6F411801" w14:textId="77777777" w:rsidTr="00A171CF">
        <w:tc>
          <w:tcPr>
            <w:tcW w:w="2126" w:type="dxa"/>
            <w:tcBorders>
              <w:top w:val="single" w:sz="4" w:space="0" w:color="auto"/>
              <w:left w:val="single" w:sz="4" w:space="0" w:color="auto"/>
              <w:bottom w:val="single" w:sz="4" w:space="0" w:color="auto"/>
              <w:right w:val="single" w:sz="4" w:space="0" w:color="auto"/>
            </w:tcBorders>
          </w:tcPr>
          <w:p w14:paraId="29B2B82A" w14:textId="77777777" w:rsidR="001E1D2E" w:rsidRPr="006A3A03" w:rsidRDefault="001E1D2E" w:rsidP="00A171CF">
            <w:pPr>
              <w:rPr>
                <w:rFonts w:eastAsia="Calibri" w:cs="Arial"/>
              </w:rPr>
            </w:pPr>
            <w:r w:rsidRPr="006A3A03">
              <w:rPr>
                <w:rFonts w:eastAsia="Calibri" w:cs="Arial"/>
              </w:rPr>
              <w:t>Essex</w:t>
            </w:r>
          </w:p>
          <w:p w14:paraId="484FED70" w14:textId="77777777" w:rsidR="001E1D2E" w:rsidRPr="006A3A03" w:rsidRDefault="001E1D2E" w:rsidP="00A171CF">
            <w:pPr>
              <w:rPr>
                <w:rFonts w:eastAsia="Calibri" w:cs="Arial"/>
              </w:rPr>
            </w:pPr>
            <w:r w:rsidRPr="006A3A03">
              <w:rPr>
                <w:rFonts w:eastAsia="Calibri" w:cs="Arial"/>
              </w:rPr>
              <w:t>(weekly local panels and monthly for complex cases)</w:t>
            </w:r>
          </w:p>
          <w:p w14:paraId="3D54B4C9" w14:textId="77777777" w:rsidR="001E1D2E" w:rsidRPr="006A3A03" w:rsidRDefault="001E1D2E" w:rsidP="00A171CF">
            <w:pPr>
              <w:rPr>
                <w:rFonts w:eastAsia="Calibri" w:cs="Arial"/>
              </w:rPr>
            </w:pPr>
            <w:r w:rsidRPr="006A3A03">
              <w:rPr>
                <w:rFonts w:eastAsia="Calibri" w:cs="Arial"/>
              </w:rPr>
              <w:tab/>
            </w:r>
          </w:p>
          <w:p w14:paraId="75A8475A" w14:textId="77777777" w:rsidR="001E1D2E" w:rsidRPr="006A3A03" w:rsidRDefault="001E1D2E" w:rsidP="00A171CF">
            <w:pPr>
              <w:rPr>
                <w:rFonts w:eastAsia="Calibri" w:cs="Arial"/>
              </w:rPr>
            </w:pPr>
            <w:r w:rsidRPr="006A3A03">
              <w:rPr>
                <w:rFonts w:eastAsia="Calibri" w:cs="Arial"/>
              </w:rPr>
              <w:tab/>
            </w:r>
          </w:p>
          <w:p w14:paraId="53C63AB6"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tcPr>
          <w:p w14:paraId="76C72B0F" w14:textId="14C1CE67" w:rsidR="001E1D2E" w:rsidRPr="00A4440F" w:rsidRDefault="001E1D2E" w:rsidP="00A171CF">
            <w:pPr>
              <w:rPr>
                <w:rFonts w:eastAsia="Times New Roman" w:cs="Arial"/>
              </w:rPr>
            </w:pPr>
            <w:r w:rsidRPr="00A4440F">
              <w:rPr>
                <w:rFonts w:eastAsia="Times New Roman" w:cs="Arial"/>
              </w:rPr>
              <w:t xml:space="preserve">Mid Essex – Catherine </w:t>
            </w:r>
            <w:r w:rsidR="00213DD1">
              <w:rPr>
                <w:rFonts w:eastAsia="Times New Roman" w:cs="Arial"/>
              </w:rPr>
              <w:t>Wallis</w:t>
            </w:r>
            <w:r w:rsidRPr="00A4440F">
              <w:rPr>
                <w:rFonts w:eastAsia="Times New Roman" w:cs="Arial"/>
              </w:rPr>
              <w:t xml:space="preserve"> </w:t>
            </w:r>
          </w:p>
          <w:p w14:paraId="51CBE193" w14:textId="77777777" w:rsidR="001E1D2E" w:rsidRPr="00A4440F" w:rsidRDefault="001E1D2E" w:rsidP="00A171CF">
            <w:pPr>
              <w:rPr>
                <w:rFonts w:eastAsia="Times New Roman" w:cs="Arial"/>
              </w:rPr>
            </w:pPr>
            <w:r w:rsidRPr="00A4440F">
              <w:rPr>
                <w:rFonts w:eastAsia="Times New Roman" w:cs="Arial"/>
              </w:rPr>
              <w:t xml:space="preserve">North Essex – Sarahe Harris </w:t>
            </w:r>
          </w:p>
          <w:p w14:paraId="15999973" w14:textId="77777777" w:rsidR="001E1D2E" w:rsidRDefault="001E1D2E" w:rsidP="00A171CF">
            <w:pPr>
              <w:rPr>
                <w:rFonts w:eastAsia="Times New Roman" w:cs="Arial"/>
              </w:rPr>
            </w:pPr>
            <w:r w:rsidRPr="00A4440F">
              <w:rPr>
                <w:rFonts w:eastAsia="Times New Roman" w:cs="Arial"/>
              </w:rPr>
              <w:t>West Essex –</w:t>
            </w:r>
            <w:r>
              <w:rPr>
                <w:rFonts w:eastAsia="Times New Roman" w:cs="Arial"/>
              </w:rPr>
              <w:t xml:space="preserve"> Jenni Scarborough </w:t>
            </w:r>
          </w:p>
          <w:p w14:paraId="40A08A79" w14:textId="77777777" w:rsidR="001E1D2E" w:rsidRPr="00A4440F" w:rsidRDefault="001E1D2E" w:rsidP="00A171CF">
            <w:pPr>
              <w:rPr>
                <w:rFonts w:eastAsia="Times New Roman" w:cs="Arial"/>
              </w:rPr>
            </w:pPr>
            <w:r w:rsidRPr="00A4440F">
              <w:rPr>
                <w:rFonts w:eastAsia="Times New Roman" w:cs="Arial"/>
              </w:rPr>
              <w:t xml:space="preserve">South Essex – Cathy Gregory </w:t>
            </w:r>
          </w:p>
          <w:p w14:paraId="69ED188D" w14:textId="77777777" w:rsidR="001E1D2E" w:rsidRDefault="001E1D2E" w:rsidP="00A171CF">
            <w:pPr>
              <w:rPr>
                <w:rFonts w:eastAsia="Calibri" w:cs="Arial"/>
              </w:rPr>
            </w:pPr>
          </w:p>
        </w:tc>
        <w:tc>
          <w:tcPr>
            <w:tcW w:w="4677" w:type="dxa"/>
            <w:tcBorders>
              <w:top w:val="single" w:sz="4" w:space="0" w:color="auto"/>
              <w:left w:val="single" w:sz="4" w:space="0" w:color="auto"/>
              <w:bottom w:val="single" w:sz="4" w:space="0" w:color="auto"/>
              <w:right w:val="single" w:sz="4" w:space="0" w:color="auto"/>
            </w:tcBorders>
          </w:tcPr>
          <w:p w14:paraId="226CAB42" w14:textId="77777777" w:rsidR="00213DD1" w:rsidRDefault="00213DD1" w:rsidP="00A171CF">
            <w:pPr>
              <w:rPr>
                <w:rFonts w:eastAsia="Times New Roman" w:cs="Arial"/>
                <w:lang w:eastAsia="en-GB"/>
              </w:rPr>
            </w:pPr>
            <w:hyperlink r:id="rId22" w:history="1">
              <w:r w:rsidRPr="00F4463E">
                <w:rPr>
                  <w:rStyle w:val="Hyperlink"/>
                  <w:rFonts w:eastAsia="Times New Roman" w:cs="Arial"/>
                  <w:lang w:eastAsia="en-GB"/>
                </w:rPr>
                <w:t>Catherine.Wallis@essex.gov.uk</w:t>
              </w:r>
            </w:hyperlink>
            <w:r>
              <w:rPr>
                <w:rFonts w:eastAsia="Times New Roman" w:cs="Arial"/>
                <w:lang w:eastAsia="en-GB"/>
              </w:rPr>
              <w:t xml:space="preserve"> </w:t>
            </w:r>
          </w:p>
          <w:p w14:paraId="1FF399B4" w14:textId="25896176" w:rsidR="001E1D2E" w:rsidRDefault="001E1D2E" w:rsidP="00A171CF">
            <w:pPr>
              <w:rPr>
                <w:rFonts w:eastAsia="Times New Roman" w:cs="Arial"/>
              </w:rPr>
            </w:pPr>
            <w:r>
              <w:rPr>
                <w:rFonts w:eastAsia="Times New Roman" w:cs="Arial"/>
                <w:lang w:eastAsia="en-GB"/>
              </w:rPr>
              <w:t>07809 314706</w:t>
            </w:r>
          </w:p>
          <w:p w14:paraId="5F5C4264" w14:textId="77777777" w:rsidR="001E1D2E" w:rsidRDefault="001E1D2E" w:rsidP="00A171CF">
            <w:pPr>
              <w:rPr>
                <w:rFonts w:eastAsia="Times New Roman" w:cs="Arial"/>
              </w:rPr>
            </w:pPr>
            <w:hyperlink r:id="rId23" w:history="1">
              <w:r w:rsidRPr="0041450D">
                <w:rPr>
                  <w:rStyle w:val="Hyperlink"/>
                  <w:rFonts w:eastAsia="Times New Roman" w:cs="Arial"/>
                </w:rPr>
                <w:t>sarahe.harris@essex.gov.uk</w:t>
              </w:r>
            </w:hyperlink>
          </w:p>
          <w:p w14:paraId="716BD26A" w14:textId="77777777" w:rsidR="001E1D2E" w:rsidRDefault="001E1D2E" w:rsidP="00A171CF">
            <w:pPr>
              <w:rPr>
                <w:rFonts w:eastAsia="Times New Roman" w:cs="Arial"/>
              </w:rPr>
            </w:pPr>
            <w:r>
              <w:rPr>
                <w:rFonts w:eastAsia="Times New Roman" w:cs="Arial"/>
                <w:color w:val="000000"/>
                <w:shd w:val="clear" w:color="auto" w:fill="FFFFFF"/>
              </w:rPr>
              <w:t>0333 013 4464</w:t>
            </w:r>
          </w:p>
          <w:p w14:paraId="50740F6A" w14:textId="77777777" w:rsidR="001E1D2E" w:rsidRDefault="001E1D2E" w:rsidP="00A171CF">
            <w:pPr>
              <w:rPr>
                <w:rFonts w:eastAsia="Times New Roman" w:cs="Arial"/>
              </w:rPr>
            </w:pPr>
            <w:hyperlink r:id="rId24" w:history="1">
              <w:r w:rsidRPr="008F0F85">
                <w:rPr>
                  <w:rStyle w:val="Hyperlink"/>
                </w:rPr>
                <w:t>jenni.scarborough</w:t>
              </w:r>
              <w:r w:rsidRPr="008F0F85">
                <w:rPr>
                  <w:rStyle w:val="Hyperlink"/>
                  <w:rFonts w:eastAsia="Times New Roman" w:cs="Arial"/>
                </w:rPr>
                <w:t>@essex.gov.uk</w:t>
              </w:r>
            </w:hyperlink>
          </w:p>
          <w:p w14:paraId="0F80265C" w14:textId="77777777" w:rsidR="001E1D2E" w:rsidRDefault="001E1D2E" w:rsidP="00A171CF">
            <w:pPr>
              <w:rPr>
                <w:rFonts w:eastAsia="Times New Roman" w:cs="Arial"/>
              </w:rPr>
            </w:pPr>
            <w:r>
              <w:rPr>
                <w:rFonts w:eastAsia="Times New Roman" w:cs="Arial"/>
                <w:lang w:val="en" w:eastAsia="en-GB"/>
              </w:rPr>
              <w:t>0333 01</w:t>
            </w:r>
            <w:r>
              <w:rPr>
                <w:rFonts w:eastAsia="Times New Roman" w:cs="Arial"/>
                <w:lang w:eastAsia="en-GB"/>
              </w:rPr>
              <w:t>3 9911</w:t>
            </w:r>
          </w:p>
          <w:p w14:paraId="424C4A86" w14:textId="77777777" w:rsidR="001E1D2E" w:rsidRDefault="001E1D2E" w:rsidP="00A171CF">
            <w:pPr>
              <w:rPr>
                <w:rFonts w:eastAsia="Times New Roman" w:cs="Arial"/>
              </w:rPr>
            </w:pPr>
            <w:hyperlink r:id="rId25" w:history="1">
              <w:r w:rsidRPr="006C7A1D">
                <w:rPr>
                  <w:rStyle w:val="Hyperlink"/>
                  <w:rFonts w:eastAsia="Times New Roman" w:cs="Arial"/>
                </w:rPr>
                <w:t>cathy.gregory@essex.gov.uk</w:t>
              </w:r>
            </w:hyperlink>
          </w:p>
          <w:p w14:paraId="03D3CBE1" w14:textId="77777777" w:rsidR="001E1D2E" w:rsidRPr="00A4440F" w:rsidRDefault="001E1D2E" w:rsidP="00A171CF">
            <w:pPr>
              <w:rPr>
                <w:rFonts w:eastAsia="Times New Roman" w:cs="Arial"/>
              </w:rPr>
            </w:pPr>
            <w:r>
              <w:rPr>
                <w:rFonts w:eastAsia="Times New Roman" w:cs="Arial"/>
                <w:lang w:eastAsia="en-GB"/>
              </w:rPr>
              <w:t>0333 013 4736</w:t>
            </w:r>
          </w:p>
        </w:tc>
      </w:tr>
      <w:tr w:rsidR="001E1D2E" w14:paraId="0954BB83" w14:textId="77777777" w:rsidTr="00A171CF">
        <w:tc>
          <w:tcPr>
            <w:tcW w:w="2126" w:type="dxa"/>
            <w:tcBorders>
              <w:top w:val="single" w:sz="4" w:space="0" w:color="auto"/>
              <w:left w:val="single" w:sz="4" w:space="0" w:color="auto"/>
              <w:bottom w:val="single" w:sz="4" w:space="0" w:color="auto"/>
              <w:right w:val="single" w:sz="4" w:space="0" w:color="auto"/>
            </w:tcBorders>
          </w:tcPr>
          <w:p w14:paraId="2F42D114" w14:textId="77777777" w:rsidR="001E1D2E" w:rsidRPr="006A3A03" w:rsidRDefault="001E1D2E" w:rsidP="00A171CF">
            <w:pPr>
              <w:rPr>
                <w:rFonts w:eastAsia="Calibri" w:cs="Arial"/>
              </w:rPr>
            </w:pPr>
            <w:r w:rsidRPr="006A3A03">
              <w:rPr>
                <w:rFonts w:eastAsia="Calibri" w:cs="Arial"/>
              </w:rPr>
              <w:t>Hertfordshire (monthly for specialist provision)</w:t>
            </w:r>
          </w:p>
          <w:p w14:paraId="315BC9B4"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hideMark/>
          </w:tcPr>
          <w:p w14:paraId="2955C546" w14:textId="77777777" w:rsidR="001E1D2E" w:rsidRDefault="001E1D2E" w:rsidP="00A171CF">
            <w:pPr>
              <w:rPr>
                <w:rFonts w:eastAsia="Calibri" w:cs="Arial"/>
              </w:rPr>
            </w:pPr>
            <w:r>
              <w:rPr>
                <w:rFonts w:eastAsia="Calibri" w:cs="Arial"/>
              </w:rPr>
              <w:t>Hilary Evans</w:t>
            </w:r>
          </w:p>
        </w:tc>
        <w:tc>
          <w:tcPr>
            <w:tcW w:w="4677" w:type="dxa"/>
            <w:tcBorders>
              <w:top w:val="single" w:sz="4" w:space="0" w:color="auto"/>
              <w:left w:val="single" w:sz="4" w:space="0" w:color="auto"/>
              <w:bottom w:val="single" w:sz="4" w:space="0" w:color="auto"/>
              <w:right w:val="single" w:sz="4" w:space="0" w:color="auto"/>
            </w:tcBorders>
          </w:tcPr>
          <w:p w14:paraId="5A7DE1D3" w14:textId="77777777" w:rsidR="001E1D2E" w:rsidRDefault="001E1D2E" w:rsidP="00A171CF">
            <w:hyperlink r:id="rId26" w:history="1">
              <w:r w:rsidRPr="00627BE6">
                <w:rPr>
                  <w:rStyle w:val="Hyperlink"/>
                </w:rPr>
                <w:t>Hilary.Evans@hertfordshire.gov.uk</w:t>
              </w:r>
            </w:hyperlink>
            <w:r>
              <w:t xml:space="preserve"> </w:t>
            </w:r>
          </w:p>
          <w:p w14:paraId="2A4D3BDD" w14:textId="77777777" w:rsidR="001E1D2E" w:rsidRDefault="001E1D2E" w:rsidP="00A171CF">
            <w:pPr>
              <w:rPr>
                <w:color w:val="000000"/>
                <w:lang w:eastAsia="en-GB"/>
              </w:rPr>
            </w:pPr>
            <w:r w:rsidRPr="00A67097">
              <w:rPr>
                <w:color w:val="000000"/>
                <w:lang w:eastAsia="en-GB"/>
              </w:rPr>
              <w:t>01442 453300</w:t>
            </w:r>
          </w:p>
          <w:p w14:paraId="6FFE4973" w14:textId="77777777" w:rsidR="001E1D2E" w:rsidRDefault="001E1D2E" w:rsidP="00A171CF"/>
        </w:tc>
      </w:tr>
      <w:tr w:rsidR="001E1D2E" w14:paraId="20AC5728" w14:textId="77777777" w:rsidTr="00A171CF">
        <w:tc>
          <w:tcPr>
            <w:tcW w:w="2126" w:type="dxa"/>
            <w:tcBorders>
              <w:top w:val="single" w:sz="4" w:space="0" w:color="auto"/>
              <w:left w:val="single" w:sz="4" w:space="0" w:color="auto"/>
              <w:bottom w:val="single" w:sz="4" w:space="0" w:color="auto"/>
              <w:right w:val="single" w:sz="4" w:space="0" w:color="auto"/>
            </w:tcBorders>
          </w:tcPr>
          <w:p w14:paraId="12AA5873" w14:textId="77777777" w:rsidR="001E1D2E" w:rsidRPr="006A3A03" w:rsidRDefault="001E1D2E" w:rsidP="00A171CF">
            <w:pPr>
              <w:rPr>
                <w:rFonts w:eastAsia="Calibri" w:cs="Arial"/>
              </w:rPr>
            </w:pPr>
            <w:r w:rsidRPr="006A3A03">
              <w:rPr>
                <w:rFonts w:eastAsia="Calibri" w:cs="Arial"/>
              </w:rPr>
              <w:t>Luton</w:t>
            </w:r>
          </w:p>
          <w:p w14:paraId="2C0FEEAC" w14:textId="77777777" w:rsidR="001E1D2E" w:rsidRPr="006A3A03" w:rsidRDefault="001E1D2E" w:rsidP="00A171CF">
            <w:pPr>
              <w:rPr>
                <w:rFonts w:eastAsia="Calibri" w:cs="Arial"/>
              </w:rPr>
            </w:pPr>
            <w:r w:rsidRPr="006A3A03">
              <w:rPr>
                <w:rFonts w:eastAsia="Calibri" w:cs="Arial"/>
              </w:rPr>
              <w:t>(fortnightly)</w:t>
            </w:r>
          </w:p>
        </w:tc>
        <w:tc>
          <w:tcPr>
            <w:tcW w:w="2410" w:type="dxa"/>
            <w:tcBorders>
              <w:top w:val="single" w:sz="4" w:space="0" w:color="auto"/>
              <w:left w:val="single" w:sz="4" w:space="0" w:color="auto"/>
              <w:bottom w:val="single" w:sz="4" w:space="0" w:color="auto"/>
              <w:right w:val="single" w:sz="4" w:space="0" w:color="auto"/>
            </w:tcBorders>
          </w:tcPr>
          <w:p w14:paraId="7A440D7B" w14:textId="77777777" w:rsidR="001E1D2E" w:rsidRDefault="001E1D2E" w:rsidP="00A171CF">
            <w:pPr>
              <w:rPr>
                <w:rFonts w:eastAsia="Calibri" w:cs="Arial"/>
              </w:rPr>
            </w:pPr>
            <w:r>
              <w:rPr>
                <w:rFonts w:eastAsia="Calibri" w:cs="Arial"/>
              </w:rPr>
              <w:t>Lisa Ellis</w:t>
            </w:r>
          </w:p>
          <w:p w14:paraId="1FC60F16" w14:textId="77777777" w:rsidR="001E1D2E" w:rsidRDefault="001E1D2E" w:rsidP="00A171CF">
            <w:pPr>
              <w:rPr>
                <w:rFonts w:eastAsia="Calibri" w:cs="Arial"/>
              </w:rPr>
            </w:pPr>
          </w:p>
          <w:p w14:paraId="0C3D8BF2" w14:textId="77777777" w:rsidR="001E1D2E" w:rsidRDefault="001E1D2E" w:rsidP="00A171CF">
            <w:pPr>
              <w:rPr>
                <w:rFonts w:eastAsia="Calibri" w:cs="Arial"/>
              </w:rPr>
            </w:pPr>
          </w:p>
          <w:p w14:paraId="302E8B4C" w14:textId="77777777" w:rsidR="001E1D2E" w:rsidRDefault="001E1D2E" w:rsidP="00A171CF">
            <w:r>
              <w:t xml:space="preserve">Hazel Stewart (school-age) </w:t>
            </w:r>
          </w:p>
          <w:p w14:paraId="04A2A7EC" w14:textId="77777777" w:rsidR="001E1D2E" w:rsidRDefault="001E1D2E" w:rsidP="00A171CF"/>
          <w:p w14:paraId="6F10BCE2" w14:textId="77777777" w:rsidR="001E1D2E" w:rsidRDefault="001E1D2E" w:rsidP="00A171CF">
            <w:r>
              <w:t>Subrina Dobey</w:t>
            </w:r>
          </w:p>
          <w:p w14:paraId="702B141F" w14:textId="77777777" w:rsidR="001E1D2E" w:rsidRDefault="001E1D2E" w:rsidP="00A171CF">
            <w:pPr>
              <w:rPr>
                <w:rFonts w:eastAsia="Calibri" w:cs="Arial"/>
              </w:rPr>
            </w:pPr>
            <w:r>
              <w:rPr>
                <w:rFonts w:eastAsia="Calibri" w:cs="Arial"/>
              </w:rPr>
              <w:t>(post-16)</w:t>
            </w:r>
          </w:p>
        </w:tc>
        <w:tc>
          <w:tcPr>
            <w:tcW w:w="4677" w:type="dxa"/>
            <w:tcBorders>
              <w:top w:val="single" w:sz="4" w:space="0" w:color="auto"/>
              <w:left w:val="single" w:sz="4" w:space="0" w:color="auto"/>
              <w:bottom w:val="single" w:sz="4" w:space="0" w:color="auto"/>
              <w:right w:val="single" w:sz="4" w:space="0" w:color="auto"/>
            </w:tcBorders>
          </w:tcPr>
          <w:p w14:paraId="3FAFEA5D" w14:textId="77777777" w:rsidR="001E1D2E" w:rsidRDefault="001E1D2E" w:rsidP="00A171CF">
            <w:hyperlink r:id="rId27" w:history="1">
              <w:r w:rsidRPr="005677D7">
                <w:rPr>
                  <w:rStyle w:val="Hyperlink"/>
                </w:rPr>
                <w:t>lisa.ellis@luton.gov.uk</w:t>
              </w:r>
            </w:hyperlink>
          </w:p>
          <w:p w14:paraId="5ABECA6D" w14:textId="77777777" w:rsidR="001E1D2E" w:rsidRDefault="001E1D2E" w:rsidP="00A171CF">
            <w:r>
              <w:t>01582 548114/ 07593 519761</w:t>
            </w:r>
          </w:p>
          <w:p w14:paraId="64688CDD" w14:textId="77777777" w:rsidR="001E1D2E" w:rsidRDefault="001E1D2E" w:rsidP="00A171CF"/>
          <w:p w14:paraId="19F0EF40" w14:textId="77777777" w:rsidR="001E1D2E" w:rsidRDefault="001E1D2E" w:rsidP="00A171CF">
            <w:hyperlink r:id="rId28" w:history="1">
              <w:r w:rsidRPr="008F0F85">
                <w:rPr>
                  <w:rStyle w:val="Hyperlink"/>
                </w:rPr>
                <w:t>hazel.stewart@luton.gov.uk</w:t>
              </w:r>
            </w:hyperlink>
            <w:r>
              <w:t xml:space="preserve"> </w:t>
            </w:r>
          </w:p>
          <w:p w14:paraId="4B17327B" w14:textId="77777777" w:rsidR="001E1D2E" w:rsidRDefault="001E1D2E" w:rsidP="00A171CF">
            <w:r>
              <w:t>07783 811738</w:t>
            </w:r>
          </w:p>
          <w:p w14:paraId="53F8766B" w14:textId="77777777" w:rsidR="001E1D2E" w:rsidRDefault="001E1D2E" w:rsidP="00A171CF"/>
          <w:p w14:paraId="7DE3C9A0" w14:textId="77777777" w:rsidR="001E1D2E" w:rsidRDefault="001E1D2E" w:rsidP="00A171CF">
            <w:hyperlink r:id="rId29" w:history="1">
              <w:r w:rsidRPr="008F0F85">
                <w:rPr>
                  <w:rStyle w:val="Hyperlink"/>
                </w:rPr>
                <w:t>subrina.dobey@luton.gov.uk</w:t>
              </w:r>
            </w:hyperlink>
            <w:r>
              <w:t xml:space="preserve"> </w:t>
            </w:r>
          </w:p>
          <w:p w14:paraId="26BAE867" w14:textId="77777777" w:rsidR="001E1D2E" w:rsidRDefault="001E1D2E" w:rsidP="00A171CF">
            <w:r>
              <w:t>07708492816</w:t>
            </w:r>
          </w:p>
          <w:p w14:paraId="6B7272D5" w14:textId="77777777" w:rsidR="001E1D2E" w:rsidRDefault="001E1D2E" w:rsidP="00A171CF"/>
        </w:tc>
      </w:tr>
      <w:tr w:rsidR="001E1D2E" w14:paraId="76619019" w14:textId="77777777" w:rsidTr="00A171CF">
        <w:tc>
          <w:tcPr>
            <w:tcW w:w="2126" w:type="dxa"/>
            <w:tcBorders>
              <w:top w:val="single" w:sz="4" w:space="0" w:color="auto"/>
              <w:left w:val="single" w:sz="4" w:space="0" w:color="auto"/>
              <w:bottom w:val="single" w:sz="4" w:space="0" w:color="auto"/>
              <w:right w:val="single" w:sz="4" w:space="0" w:color="auto"/>
            </w:tcBorders>
          </w:tcPr>
          <w:p w14:paraId="0E986417" w14:textId="77777777" w:rsidR="001E1D2E" w:rsidRPr="006A3A03" w:rsidRDefault="001E1D2E" w:rsidP="00A171CF">
            <w:pPr>
              <w:rPr>
                <w:rFonts w:eastAsia="Calibri" w:cs="Arial"/>
              </w:rPr>
            </w:pPr>
            <w:r w:rsidRPr="006A3A03">
              <w:rPr>
                <w:rFonts w:eastAsia="Calibri" w:cs="Arial"/>
              </w:rPr>
              <w:t>Norfolk</w:t>
            </w:r>
          </w:p>
          <w:p w14:paraId="07446F92" w14:textId="77777777" w:rsidR="001E1D2E" w:rsidRPr="006A3A03" w:rsidRDefault="001E1D2E" w:rsidP="00A171CF">
            <w:pPr>
              <w:rPr>
                <w:rFonts w:eastAsia="Calibri" w:cs="Arial"/>
              </w:rPr>
            </w:pPr>
            <w:r w:rsidRPr="006A3A03">
              <w:rPr>
                <w:rFonts w:eastAsia="Calibri" w:cs="Arial"/>
              </w:rPr>
              <w:t>(termly for special school admission following the normal</w:t>
            </w:r>
            <w:r>
              <w:rPr>
                <w:rFonts w:eastAsia="Calibri" w:cs="Arial"/>
              </w:rPr>
              <w:t xml:space="preserve"> </w:t>
            </w:r>
            <w:r w:rsidRPr="006A3A03">
              <w:rPr>
                <w:rFonts w:eastAsia="Calibri" w:cs="Arial"/>
              </w:rPr>
              <w:t xml:space="preserve">15 days consultation at the time) </w:t>
            </w:r>
          </w:p>
          <w:p w14:paraId="6778E3C4"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tcPr>
          <w:p w14:paraId="23C6CB18" w14:textId="77777777" w:rsidR="001E1D2E" w:rsidRDefault="001E1D2E" w:rsidP="00A171CF">
            <w:r>
              <w:t>Kim Breen</w:t>
            </w:r>
          </w:p>
          <w:p w14:paraId="1C6A18FC" w14:textId="77777777" w:rsidR="001E1D2E" w:rsidRDefault="001E1D2E" w:rsidP="00A171CF"/>
          <w:p w14:paraId="2D4D370B" w14:textId="77777777" w:rsidR="001E1D2E" w:rsidRDefault="001E1D2E" w:rsidP="00A171CF"/>
          <w:p w14:paraId="06455D04" w14:textId="77777777" w:rsidR="001E1D2E" w:rsidRDefault="001E1D2E" w:rsidP="00A171CF">
            <w:pPr>
              <w:rPr>
                <w:rFonts w:eastAsia="Calibri" w:cs="Arial"/>
              </w:rPr>
            </w:pPr>
            <w:r>
              <w:rPr>
                <w:rFonts w:eastAsia="Calibri" w:cs="Arial"/>
              </w:rPr>
              <w:t>Nicki Rider</w:t>
            </w:r>
          </w:p>
        </w:tc>
        <w:tc>
          <w:tcPr>
            <w:tcW w:w="4677" w:type="dxa"/>
            <w:tcBorders>
              <w:top w:val="single" w:sz="4" w:space="0" w:color="auto"/>
              <w:left w:val="single" w:sz="4" w:space="0" w:color="auto"/>
              <w:bottom w:val="single" w:sz="4" w:space="0" w:color="auto"/>
              <w:right w:val="single" w:sz="4" w:space="0" w:color="auto"/>
            </w:tcBorders>
          </w:tcPr>
          <w:p w14:paraId="2E0E28E3" w14:textId="77777777" w:rsidR="001E1D2E" w:rsidRDefault="001E1D2E" w:rsidP="00A171CF">
            <w:hyperlink r:id="rId30" w:history="1">
              <w:r w:rsidRPr="00F65DFF">
                <w:rPr>
                  <w:rStyle w:val="Hyperlink"/>
                </w:rPr>
                <w:t>kim.breen@norfolk.gov.uk</w:t>
              </w:r>
            </w:hyperlink>
            <w:r>
              <w:t xml:space="preserve"> </w:t>
            </w:r>
          </w:p>
          <w:p w14:paraId="70435C69" w14:textId="77777777" w:rsidR="001E1D2E" w:rsidRDefault="001E1D2E" w:rsidP="00A171CF">
            <w:r>
              <w:t>01603 307702</w:t>
            </w:r>
          </w:p>
          <w:p w14:paraId="633D2114" w14:textId="77777777" w:rsidR="001E1D2E" w:rsidRDefault="001E1D2E" w:rsidP="00A171CF"/>
          <w:p w14:paraId="3B2ADCB3" w14:textId="77777777" w:rsidR="001E1D2E" w:rsidRDefault="001E1D2E" w:rsidP="00A171CF">
            <w:hyperlink r:id="rId31" w:history="1">
              <w:r w:rsidRPr="002E34D8">
                <w:rPr>
                  <w:rStyle w:val="Hyperlink"/>
                </w:rPr>
                <w:t>Nicki.Rider@norfolk.gov.uk</w:t>
              </w:r>
            </w:hyperlink>
            <w:r>
              <w:t xml:space="preserve"> </w:t>
            </w:r>
          </w:p>
        </w:tc>
      </w:tr>
      <w:tr w:rsidR="001E1D2E" w14:paraId="1A34F1DA" w14:textId="77777777" w:rsidTr="00A171CF">
        <w:tc>
          <w:tcPr>
            <w:tcW w:w="2126" w:type="dxa"/>
            <w:tcBorders>
              <w:top w:val="single" w:sz="4" w:space="0" w:color="auto"/>
              <w:left w:val="single" w:sz="4" w:space="0" w:color="auto"/>
              <w:bottom w:val="single" w:sz="4" w:space="0" w:color="auto"/>
              <w:right w:val="single" w:sz="4" w:space="0" w:color="auto"/>
            </w:tcBorders>
          </w:tcPr>
          <w:p w14:paraId="17E1FD74" w14:textId="77777777" w:rsidR="001E1D2E" w:rsidRPr="006A3A03" w:rsidRDefault="001E1D2E" w:rsidP="00A171CF">
            <w:pPr>
              <w:rPr>
                <w:rFonts w:eastAsia="Calibri" w:cs="Arial"/>
              </w:rPr>
            </w:pPr>
            <w:r w:rsidRPr="006A3A03">
              <w:rPr>
                <w:rFonts w:eastAsia="Calibri" w:cs="Arial"/>
              </w:rPr>
              <w:lastRenderedPageBreak/>
              <w:t xml:space="preserve">Peterborough </w:t>
            </w:r>
          </w:p>
          <w:p w14:paraId="53C5140C" w14:textId="77777777" w:rsidR="001E1D2E" w:rsidRPr="006A3A03" w:rsidRDefault="001E1D2E" w:rsidP="00A171CF">
            <w:pPr>
              <w:rPr>
                <w:rFonts w:eastAsia="Calibri" w:cs="Arial"/>
              </w:rPr>
            </w:pPr>
            <w:r w:rsidRPr="006A3A03">
              <w:rPr>
                <w:rFonts w:eastAsia="Calibri" w:cs="Arial"/>
              </w:rPr>
              <w:t>(fortnightly)</w:t>
            </w:r>
          </w:p>
          <w:p w14:paraId="4A9EE015"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tcPr>
          <w:p w14:paraId="4C0769A8" w14:textId="77777777" w:rsidR="001E1D2E" w:rsidRDefault="001E1D2E" w:rsidP="00A171CF">
            <w:pPr>
              <w:rPr>
                <w:rFonts w:eastAsia="Calibri" w:cs="Arial"/>
              </w:rPr>
            </w:pPr>
            <w:r>
              <w:rPr>
                <w:rFonts w:eastAsia="Calibri" w:cs="Arial"/>
              </w:rPr>
              <w:t>Katie Barnett</w:t>
            </w:r>
          </w:p>
          <w:p w14:paraId="536D3EAD" w14:textId="77777777" w:rsidR="001E1D2E" w:rsidRDefault="001E1D2E" w:rsidP="00A171CF">
            <w:pPr>
              <w:rPr>
                <w:rFonts w:eastAsia="Calibri" w:cs="Arial"/>
              </w:rPr>
            </w:pPr>
          </w:p>
        </w:tc>
        <w:tc>
          <w:tcPr>
            <w:tcW w:w="4677" w:type="dxa"/>
            <w:tcBorders>
              <w:top w:val="single" w:sz="4" w:space="0" w:color="auto"/>
              <w:left w:val="single" w:sz="4" w:space="0" w:color="auto"/>
              <w:bottom w:val="single" w:sz="4" w:space="0" w:color="auto"/>
              <w:right w:val="single" w:sz="4" w:space="0" w:color="auto"/>
            </w:tcBorders>
          </w:tcPr>
          <w:p w14:paraId="210A5B3A" w14:textId="77777777" w:rsidR="001E1D2E" w:rsidRDefault="001E1D2E" w:rsidP="00A171CF">
            <w:hyperlink r:id="rId32" w:history="1">
              <w:r w:rsidRPr="002E34D8">
                <w:rPr>
                  <w:rStyle w:val="Hyperlink"/>
                </w:rPr>
                <w:t>Katie.Barnett@peterborough.gov.uk</w:t>
              </w:r>
            </w:hyperlink>
            <w:r>
              <w:t xml:space="preserve"> 01733 863932</w:t>
            </w:r>
          </w:p>
          <w:p w14:paraId="255A7486" w14:textId="77777777" w:rsidR="001E1D2E" w:rsidRDefault="001E1D2E" w:rsidP="00A171CF"/>
        </w:tc>
      </w:tr>
      <w:tr w:rsidR="001E1D2E" w14:paraId="06778520" w14:textId="77777777" w:rsidTr="00A171CF">
        <w:tc>
          <w:tcPr>
            <w:tcW w:w="2126" w:type="dxa"/>
            <w:tcBorders>
              <w:top w:val="single" w:sz="4" w:space="0" w:color="auto"/>
              <w:left w:val="single" w:sz="4" w:space="0" w:color="auto"/>
              <w:bottom w:val="single" w:sz="4" w:space="0" w:color="auto"/>
              <w:right w:val="single" w:sz="4" w:space="0" w:color="auto"/>
            </w:tcBorders>
          </w:tcPr>
          <w:p w14:paraId="7C2F025F" w14:textId="77777777" w:rsidR="001E1D2E" w:rsidRPr="006A3A03" w:rsidRDefault="001E1D2E" w:rsidP="00A171CF">
            <w:pPr>
              <w:rPr>
                <w:rFonts w:eastAsia="Calibri" w:cs="Arial"/>
              </w:rPr>
            </w:pPr>
            <w:r w:rsidRPr="006A3A03">
              <w:rPr>
                <w:rFonts w:eastAsia="Calibri" w:cs="Arial"/>
              </w:rPr>
              <w:t>Southend</w:t>
            </w:r>
          </w:p>
          <w:p w14:paraId="327AEFF9" w14:textId="77777777" w:rsidR="001E1D2E" w:rsidRPr="006A3A03" w:rsidRDefault="001E1D2E" w:rsidP="00A171CF">
            <w:pPr>
              <w:rPr>
                <w:rFonts w:eastAsia="Calibri" w:cs="Arial"/>
              </w:rPr>
            </w:pPr>
            <w:r w:rsidRPr="006A3A03">
              <w:rPr>
                <w:rFonts w:eastAsia="Calibri" w:cs="Arial"/>
              </w:rPr>
              <w:t>(weekly)</w:t>
            </w:r>
          </w:p>
          <w:p w14:paraId="3154E7DE"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tcPr>
          <w:p w14:paraId="21500345" w14:textId="77777777" w:rsidR="001E1D2E" w:rsidRDefault="001E1D2E" w:rsidP="00A171CF">
            <w:pPr>
              <w:rPr>
                <w:rFonts w:eastAsia="Calibri" w:cs="Arial"/>
              </w:rPr>
            </w:pPr>
            <w:r>
              <w:t>Tanya Slessor</w:t>
            </w:r>
          </w:p>
        </w:tc>
        <w:tc>
          <w:tcPr>
            <w:tcW w:w="4677" w:type="dxa"/>
            <w:tcBorders>
              <w:top w:val="single" w:sz="4" w:space="0" w:color="auto"/>
              <w:left w:val="single" w:sz="4" w:space="0" w:color="auto"/>
              <w:bottom w:val="single" w:sz="4" w:space="0" w:color="auto"/>
              <w:right w:val="single" w:sz="4" w:space="0" w:color="auto"/>
            </w:tcBorders>
          </w:tcPr>
          <w:p w14:paraId="159A3CD2" w14:textId="77777777" w:rsidR="001E1D2E" w:rsidRDefault="001E1D2E" w:rsidP="00A171CF">
            <w:hyperlink r:id="rId33" w:history="1">
              <w:r w:rsidRPr="002E34D8">
                <w:rPr>
                  <w:rStyle w:val="Hyperlink"/>
                </w:rPr>
                <w:t>TanyaSlessor@southend.gov.uk</w:t>
              </w:r>
            </w:hyperlink>
            <w:r>
              <w:t xml:space="preserve"> </w:t>
            </w:r>
          </w:p>
          <w:p w14:paraId="591BF418" w14:textId="77777777" w:rsidR="001E1D2E" w:rsidRDefault="001E1D2E" w:rsidP="00A171CF">
            <w:r>
              <w:t xml:space="preserve">01702 215745 </w:t>
            </w:r>
          </w:p>
          <w:p w14:paraId="20701237" w14:textId="77777777" w:rsidR="001E1D2E" w:rsidRDefault="001E1D2E" w:rsidP="00A171CF"/>
        </w:tc>
      </w:tr>
      <w:tr w:rsidR="001E1D2E" w14:paraId="74C8C4F8" w14:textId="77777777" w:rsidTr="00A171CF">
        <w:tc>
          <w:tcPr>
            <w:tcW w:w="2126" w:type="dxa"/>
            <w:tcBorders>
              <w:top w:val="single" w:sz="4" w:space="0" w:color="auto"/>
              <w:left w:val="single" w:sz="4" w:space="0" w:color="auto"/>
              <w:bottom w:val="single" w:sz="4" w:space="0" w:color="auto"/>
              <w:right w:val="single" w:sz="4" w:space="0" w:color="auto"/>
            </w:tcBorders>
          </w:tcPr>
          <w:p w14:paraId="323AD87E" w14:textId="77777777" w:rsidR="001E1D2E" w:rsidRPr="006A3A03" w:rsidRDefault="001E1D2E" w:rsidP="00A171CF">
            <w:pPr>
              <w:rPr>
                <w:rFonts w:eastAsia="Calibri" w:cs="Arial"/>
              </w:rPr>
            </w:pPr>
            <w:r w:rsidRPr="006A3A03">
              <w:rPr>
                <w:rFonts w:eastAsia="Calibri" w:cs="Arial"/>
              </w:rPr>
              <w:t>Suffolk</w:t>
            </w:r>
          </w:p>
          <w:p w14:paraId="169038A3" w14:textId="77777777" w:rsidR="001E1D2E" w:rsidRPr="006A3A03" w:rsidRDefault="001E1D2E" w:rsidP="00A171CF">
            <w:pPr>
              <w:rPr>
                <w:rFonts w:eastAsia="Calibri" w:cs="Arial"/>
              </w:rPr>
            </w:pPr>
            <w:r w:rsidRPr="006A3A03">
              <w:rPr>
                <w:rFonts w:eastAsia="Calibri" w:cs="Arial"/>
              </w:rPr>
              <w:t>(weekly)</w:t>
            </w:r>
          </w:p>
        </w:tc>
        <w:tc>
          <w:tcPr>
            <w:tcW w:w="2410" w:type="dxa"/>
            <w:tcBorders>
              <w:top w:val="single" w:sz="4" w:space="0" w:color="auto"/>
              <w:left w:val="single" w:sz="4" w:space="0" w:color="auto"/>
              <w:bottom w:val="single" w:sz="4" w:space="0" w:color="auto"/>
              <w:right w:val="single" w:sz="4" w:space="0" w:color="auto"/>
            </w:tcBorders>
          </w:tcPr>
          <w:p w14:paraId="35D9770B" w14:textId="77777777" w:rsidR="001E1D2E" w:rsidRDefault="001E1D2E" w:rsidP="00A171CF">
            <w:r>
              <w:t>Fran Alexander</w:t>
            </w:r>
          </w:p>
          <w:p w14:paraId="72B8B2D1" w14:textId="77777777" w:rsidR="001E1D2E" w:rsidRDefault="001E1D2E" w:rsidP="00A171CF">
            <w:pPr>
              <w:rPr>
                <w:rFonts w:eastAsia="Calibri" w:cs="Arial"/>
              </w:rPr>
            </w:pPr>
          </w:p>
          <w:p w14:paraId="32B0E341" w14:textId="77777777" w:rsidR="001E1D2E" w:rsidRDefault="001E1D2E" w:rsidP="00A171CF">
            <w:pPr>
              <w:rPr>
                <w:rFonts w:eastAsia="Calibri" w:cs="Arial"/>
              </w:rPr>
            </w:pPr>
          </w:p>
          <w:p w14:paraId="470AFAAC" w14:textId="77777777" w:rsidR="001E1D2E" w:rsidRDefault="001E1D2E" w:rsidP="00A171CF">
            <w:pPr>
              <w:rPr>
                <w:rFonts w:eastAsia="Calibri" w:cs="Arial"/>
              </w:rPr>
            </w:pPr>
            <w:r>
              <w:rPr>
                <w:rFonts w:eastAsia="Calibri" w:cs="Arial"/>
              </w:rPr>
              <w:t>Lucy Jacobs</w:t>
            </w:r>
          </w:p>
          <w:p w14:paraId="0B3F6BF5" w14:textId="77777777" w:rsidR="001E1D2E" w:rsidRDefault="001E1D2E" w:rsidP="00A171CF">
            <w:pPr>
              <w:rPr>
                <w:rFonts w:eastAsia="Calibri" w:cs="Arial"/>
              </w:rPr>
            </w:pPr>
          </w:p>
          <w:p w14:paraId="1B1D56D2" w14:textId="77777777" w:rsidR="001E1D2E" w:rsidRDefault="001E1D2E" w:rsidP="00A171CF">
            <w:pPr>
              <w:rPr>
                <w:rFonts w:eastAsia="Calibri" w:cs="Arial"/>
              </w:rPr>
            </w:pPr>
          </w:p>
          <w:p w14:paraId="4F986E56" w14:textId="77777777" w:rsidR="001E1D2E" w:rsidRDefault="001E1D2E" w:rsidP="00A171CF">
            <w:pPr>
              <w:rPr>
                <w:rFonts w:eastAsia="Calibri" w:cs="Arial"/>
              </w:rPr>
            </w:pPr>
            <w:r w:rsidRPr="000D72A5">
              <w:rPr>
                <w:rFonts w:eastAsia="Calibri" w:cs="Arial"/>
              </w:rPr>
              <w:t>Joy Settle</w:t>
            </w:r>
          </w:p>
          <w:p w14:paraId="25CDADFD" w14:textId="77777777" w:rsidR="001E1D2E" w:rsidRDefault="001E1D2E" w:rsidP="00A171CF">
            <w:pPr>
              <w:rPr>
                <w:rFonts w:eastAsia="Calibri" w:cs="Arial"/>
              </w:rPr>
            </w:pPr>
            <w:r>
              <w:rPr>
                <w:rFonts w:eastAsia="Calibri" w:cs="Arial"/>
              </w:rPr>
              <w:t>(HNF)</w:t>
            </w:r>
            <w:r w:rsidRPr="000D72A5">
              <w:rPr>
                <w:rFonts w:eastAsia="Calibri" w:cs="Arial"/>
              </w:rPr>
              <w:t xml:space="preserve"> </w:t>
            </w:r>
          </w:p>
          <w:p w14:paraId="5E988718" w14:textId="77777777" w:rsidR="001E1D2E" w:rsidRDefault="001E1D2E" w:rsidP="00A171CF">
            <w:pPr>
              <w:rPr>
                <w:rFonts w:eastAsia="Calibri" w:cs="Arial"/>
              </w:rPr>
            </w:pPr>
          </w:p>
        </w:tc>
        <w:tc>
          <w:tcPr>
            <w:tcW w:w="4677" w:type="dxa"/>
            <w:tcBorders>
              <w:top w:val="single" w:sz="4" w:space="0" w:color="auto"/>
              <w:left w:val="single" w:sz="4" w:space="0" w:color="auto"/>
              <w:bottom w:val="single" w:sz="4" w:space="0" w:color="auto"/>
              <w:right w:val="single" w:sz="4" w:space="0" w:color="auto"/>
            </w:tcBorders>
          </w:tcPr>
          <w:p w14:paraId="1C8388CD" w14:textId="77777777" w:rsidR="001E1D2E" w:rsidRDefault="001E1D2E" w:rsidP="00A171CF">
            <w:pPr>
              <w:rPr>
                <w:rFonts w:cs="Arial"/>
              </w:rPr>
            </w:pPr>
            <w:hyperlink r:id="rId34" w:history="1">
              <w:r w:rsidRPr="0041450D">
                <w:rPr>
                  <w:rStyle w:val="Hyperlink"/>
                </w:rPr>
                <w:t>Francesca.Alexander@suffolk.gov.uk</w:t>
              </w:r>
            </w:hyperlink>
            <w:r>
              <w:t xml:space="preserve"> </w:t>
            </w:r>
            <w:r>
              <w:rPr>
                <w:rFonts w:cs="Arial"/>
              </w:rPr>
              <w:t>01473 260753</w:t>
            </w:r>
          </w:p>
          <w:p w14:paraId="7D23D538" w14:textId="77777777" w:rsidR="001E1D2E" w:rsidRDefault="001E1D2E" w:rsidP="00A171CF"/>
          <w:p w14:paraId="62B7C0C0" w14:textId="77777777" w:rsidR="001E1D2E" w:rsidRDefault="001E1D2E" w:rsidP="00A171CF">
            <w:hyperlink r:id="rId35" w:history="1">
              <w:r w:rsidRPr="00627BE6">
                <w:rPr>
                  <w:rStyle w:val="Hyperlink"/>
                </w:rPr>
                <w:t>lucy.jacobs@suffolk.gov.uk</w:t>
              </w:r>
            </w:hyperlink>
            <w:r>
              <w:t xml:space="preserve"> </w:t>
            </w:r>
          </w:p>
          <w:p w14:paraId="3E6A65E2" w14:textId="77777777" w:rsidR="001E1D2E" w:rsidRDefault="001E1D2E" w:rsidP="00A171CF">
            <w:r>
              <w:t xml:space="preserve">01473263643 </w:t>
            </w:r>
          </w:p>
          <w:p w14:paraId="12D36AAB" w14:textId="77777777" w:rsidR="001E1D2E" w:rsidRDefault="001E1D2E" w:rsidP="00A171CF"/>
          <w:p w14:paraId="53AFD43F" w14:textId="77777777" w:rsidR="001E1D2E" w:rsidRDefault="001E1D2E" w:rsidP="00A171CF">
            <w:hyperlink r:id="rId36" w:history="1">
              <w:r w:rsidRPr="008F0F85">
                <w:rPr>
                  <w:rStyle w:val="Hyperlink"/>
                  <w:rFonts w:eastAsia="Calibri" w:cs="Arial"/>
                </w:rPr>
                <w:t>joy.settle@suffolk.gov.uk</w:t>
              </w:r>
            </w:hyperlink>
            <w:r>
              <w:rPr>
                <w:rFonts w:eastAsia="Calibri" w:cs="Arial"/>
              </w:rPr>
              <w:t xml:space="preserve"> </w:t>
            </w:r>
          </w:p>
          <w:p w14:paraId="1B6E6296" w14:textId="77777777" w:rsidR="001E1D2E" w:rsidRDefault="001E1D2E" w:rsidP="00A171CF"/>
        </w:tc>
      </w:tr>
      <w:tr w:rsidR="001E1D2E" w14:paraId="30529FAD" w14:textId="77777777" w:rsidTr="00A171CF">
        <w:tc>
          <w:tcPr>
            <w:tcW w:w="2126" w:type="dxa"/>
            <w:tcBorders>
              <w:top w:val="single" w:sz="4" w:space="0" w:color="auto"/>
              <w:left w:val="single" w:sz="4" w:space="0" w:color="auto"/>
              <w:bottom w:val="single" w:sz="4" w:space="0" w:color="auto"/>
              <w:right w:val="single" w:sz="4" w:space="0" w:color="auto"/>
            </w:tcBorders>
          </w:tcPr>
          <w:p w14:paraId="55394BF0" w14:textId="77777777" w:rsidR="001E1D2E" w:rsidRPr="006A3A03" w:rsidRDefault="001E1D2E" w:rsidP="00A171CF">
            <w:pPr>
              <w:rPr>
                <w:rFonts w:eastAsia="Calibri" w:cs="Arial"/>
              </w:rPr>
            </w:pPr>
            <w:r w:rsidRPr="006A3A03">
              <w:rPr>
                <w:rFonts w:eastAsia="Calibri" w:cs="Arial"/>
              </w:rPr>
              <w:t>Thurrock</w:t>
            </w:r>
          </w:p>
          <w:p w14:paraId="12231B1E" w14:textId="77777777" w:rsidR="001E1D2E" w:rsidRPr="006A3A03" w:rsidRDefault="001E1D2E" w:rsidP="00A171CF">
            <w:pPr>
              <w:rPr>
                <w:rFonts w:eastAsia="Calibri" w:cs="Arial"/>
              </w:rPr>
            </w:pPr>
            <w:r w:rsidRPr="006A3A03">
              <w:rPr>
                <w:rFonts w:eastAsia="Calibri" w:cs="Arial"/>
              </w:rPr>
              <w:t>(weekly)</w:t>
            </w:r>
          </w:p>
          <w:p w14:paraId="67D41B13" w14:textId="77777777" w:rsidR="001E1D2E" w:rsidRPr="006A3A03" w:rsidRDefault="001E1D2E" w:rsidP="00A171CF">
            <w:pPr>
              <w:rPr>
                <w:rFonts w:eastAsia="Calibri" w:cs="Arial"/>
              </w:rPr>
            </w:pPr>
          </w:p>
        </w:tc>
        <w:tc>
          <w:tcPr>
            <w:tcW w:w="2410" w:type="dxa"/>
            <w:tcBorders>
              <w:top w:val="single" w:sz="4" w:space="0" w:color="auto"/>
              <w:left w:val="single" w:sz="4" w:space="0" w:color="auto"/>
              <w:bottom w:val="single" w:sz="4" w:space="0" w:color="auto"/>
              <w:right w:val="single" w:sz="4" w:space="0" w:color="auto"/>
            </w:tcBorders>
          </w:tcPr>
          <w:p w14:paraId="4F1F8530" w14:textId="77777777" w:rsidR="001E1D2E" w:rsidRDefault="001E1D2E" w:rsidP="00A171CF">
            <w:pPr>
              <w:rPr>
                <w:rFonts w:eastAsia="Calibri" w:cs="Arial"/>
              </w:rPr>
            </w:pPr>
            <w:r w:rsidRPr="000D6A1A">
              <w:rPr>
                <w:rFonts w:eastAsia="Calibri" w:cs="Arial"/>
              </w:rPr>
              <w:t>Gwen Trapp</w:t>
            </w:r>
          </w:p>
          <w:p w14:paraId="074561C0" w14:textId="77777777" w:rsidR="001E1D2E" w:rsidRDefault="001E1D2E" w:rsidP="00A171CF">
            <w:pPr>
              <w:rPr>
                <w:rFonts w:eastAsia="Calibri" w:cs="Arial"/>
              </w:rPr>
            </w:pPr>
          </w:p>
        </w:tc>
        <w:tc>
          <w:tcPr>
            <w:tcW w:w="4677" w:type="dxa"/>
            <w:tcBorders>
              <w:top w:val="single" w:sz="4" w:space="0" w:color="auto"/>
              <w:left w:val="single" w:sz="4" w:space="0" w:color="auto"/>
              <w:bottom w:val="single" w:sz="4" w:space="0" w:color="auto"/>
              <w:right w:val="single" w:sz="4" w:space="0" w:color="auto"/>
            </w:tcBorders>
          </w:tcPr>
          <w:p w14:paraId="0BC3B807" w14:textId="77777777" w:rsidR="001E1D2E" w:rsidRDefault="001E1D2E" w:rsidP="00A171CF">
            <w:hyperlink r:id="rId37" w:history="1">
              <w:r>
                <w:rPr>
                  <w:rStyle w:val="Hyperlink"/>
                </w:rPr>
                <w:t>gtrapp@thurrock.gov.uk</w:t>
              </w:r>
            </w:hyperlink>
            <w:r>
              <w:t xml:space="preserve"> </w:t>
            </w:r>
          </w:p>
          <w:p w14:paraId="6E779DA3" w14:textId="77777777" w:rsidR="001E1D2E" w:rsidRDefault="001E1D2E" w:rsidP="00A171CF">
            <w:r>
              <w:t xml:space="preserve">01375 652555 </w:t>
            </w:r>
            <w:proofErr w:type="spellStart"/>
            <w:r>
              <w:t>ext</w:t>
            </w:r>
            <w:proofErr w:type="spellEnd"/>
            <w:r>
              <w:t xml:space="preserve"> 67814</w:t>
            </w:r>
          </w:p>
          <w:p w14:paraId="7DE75FC9" w14:textId="77777777" w:rsidR="001E1D2E" w:rsidRDefault="001E1D2E" w:rsidP="00A171CF"/>
        </w:tc>
      </w:tr>
    </w:tbl>
    <w:p w14:paraId="381F9E3F" w14:textId="77777777" w:rsidR="003B002A" w:rsidRDefault="003B002A" w:rsidP="008B07F7"/>
    <w:sectPr w:rsidR="003B002A">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7AB25" w14:textId="77777777" w:rsidR="004E5E1E" w:rsidRDefault="004E5E1E" w:rsidP="001767DD">
      <w:pPr>
        <w:spacing w:after="0" w:line="240" w:lineRule="auto"/>
      </w:pPr>
      <w:r>
        <w:separator/>
      </w:r>
    </w:p>
  </w:endnote>
  <w:endnote w:type="continuationSeparator" w:id="0">
    <w:p w14:paraId="7FA8DC71" w14:textId="77777777" w:rsidR="004E5E1E" w:rsidRDefault="004E5E1E" w:rsidP="0017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8FB3" w14:textId="09AC25C9" w:rsidR="0059493B" w:rsidRPr="0059493B" w:rsidRDefault="007E6D1C">
    <w:pPr>
      <w:pStyle w:val="Footer"/>
      <w:pBdr>
        <w:top w:val="thinThickSmallGap" w:sz="24" w:space="1" w:color="622423" w:themeColor="accent2" w:themeShade="7F"/>
      </w:pBdr>
      <w:rPr>
        <w:rFonts w:eastAsiaTheme="majorEastAsia" w:cs="Arial"/>
        <w:b/>
      </w:rPr>
    </w:pPr>
    <w:r>
      <w:rPr>
        <w:rFonts w:eastAsiaTheme="majorEastAsia" w:cs="Arial"/>
        <w:b/>
      </w:rPr>
      <w:t>Novem</w:t>
    </w:r>
    <w:r w:rsidR="000B55BC">
      <w:rPr>
        <w:rFonts w:eastAsiaTheme="majorEastAsia" w:cs="Arial"/>
        <w:b/>
      </w:rPr>
      <w:t>ber</w:t>
    </w:r>
    <w:r w:rsidR="00C15036">
      <w:rPr>
        <w:rFonts w:eastAsiaTheme="majorEastAsia" w:cs="Arial"/>
        <w:b/>
      </w:rPr>
      <w:t xml:space="preserve"> 202</w:t>
    </w:r>
    <w:r w:rsidR="000B55BC">
      <w:rPr>
        <w:rFonts w:eastAsiaTheme="majorEastAsia" w:cs="Arial"/>
        <w:b/>
      </w:rPr>
      <w:t>4</w:t>
    </w:r>
    <w:r w:rsidR="00C15036">
      <w:rPr>
        <w:rFonts w:eastAsiaTheme="majorEastAsia" w:cs="Arial"/>
        <w:b/>
      </w:rPr>
      <w:t xml:space="preserve"> </w:t>
    </w:r>
    <w:r w:rsidR="00611F03">
      <w:rPr>
        <w:rFonts w:eastAsiaTheme="majorEastAsia" w:cs="Arial"/>
        <w:b/>
      </w:rPr>
      <w:t xml:space="preserve"> </w:t>
    </w:r>
    <w:r w:rsidR="00637CC5">
      <w:rPr>
        <w:rFonts w:eastAsiaTheme="majorEastAsia" w:cs="Arial"/>
        <w:b/>
      </w:rPr>
      <w:t xml:space="preserve"> </w:t>
    </w:r>
    <w:r w:rsidR="0059493B" w:rsidRPr="0059493B">
      <w:rPr>
        <w:rFonts w:eastAsiaTheme="majorEastAsia" w:cs="Arial"/>
        <w:b/>
      </w:rPr>
      <w:ptab w:relativeTo="margin" w:alignment="right" w:leader="none"/>
    </w:r>
    <w:r w:rsidR="0059493B" w:rsidRPr="0059493B">
      <w:rPr>
        <w:rFonts w:eastAsiaTheme="majorEastAsia" w:cs="Arial"/>
        <w:b/>
      </w:rPr>
      <w:t xml:space="preserve">Page </w:t>
    </w:r>
    <w:r w:rsidR="0059493B" w:rsidRPr="0059493B">
      <w:rPr>
        <w:rFonts w:eastAsiaTheme="minorEastAsia" w:cs="Arial"/>
        <w:b/>
      </w:rPr>
      <w:fldChar w:fldCharType="begin"/>
    </w:r>
    <w:r w:rsidR="0059493B" w:rsidRPr="0059493B">
      <w:rPr>
        <w:rFonts w:cs="Arial"/>
        <w:b/>
      </w:rPr>
      <w:instrText xml:space="preserve"> PAGE   \* MERGEFORMAT </w:instrText>
    </w:r>
    <w:r w:rsidR="0059493B" w:rsidRPr="0059493B">
      <w:rPr>
        <w:rFonts w:eastAsiaTheme="minorEastAsia" w:cs="Arial"/>
        <w:b/>
      </w:rPr>
      <w:fldChar w:fldCharType="separate"/>
    </w:r>
    <w:r w:rsidR="00493A73" w:rsidRPr="00493A73">
      <w:rPr>
        <w:rFonts w:eastAsiaTheme="majorEastAsia" w:cs="Arial"/>
        <w:b/>
        <w:noProof/>
      </w:rPr>
      <w:t>3</w:t>
    </w:r>
    <w:r w:rsidR="0059493B" w:rsidRPr="0059493B">
      <w:rPr>
        <w:rFonts w:eastAsiaTheme="majorEastAsia" w:cs="Arial"/>
        <w:b/>
        <w:noProof/>
      </w:rPr>
      <w:fldChar w:fldCharType="end"/>
    </w:r>
  </w:p>
  <w:p w14:paraId="730A97D9" w14:textId="77777777" w:rsidR="001767DD" w:rsidRDefault="00176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9BA72" w14:textId="77777777" w:rsidR="004E5E1E" w:rsidRDefault="004E5E1E" w:rsidP="001767DD">
      <w:pPr>
        <w:spacing w:after="0" w:line="240" w:lineRule="auto"/>
      </w:pPr>
      <w:r>
        <w:separator/>
      </w:r>
    </w:p>
  </w:footnote>
  <w:footnote w:type="continuationSeparator" w:id="0">
    <w:p w14:paraId="69AFECDB" w14:textId="77777777" w:rsidR="004E5E1E" w:rsidRDefault="004E5E1E" w:rsidP="001767DD">
      <w:pPr>
        <w:spacing w:after="0" w:line="240" w:lineRule="auto"/>
      </w:pPr>
      <w:r>
        <w:continuationSeparator/>
      </w:r>
    </w:p>
  </w:footnote>
  <w:footnote w:id="1">
    <w:p w14:paraId="270F9A1B" w14:textId="6329AD8A" w:rsidR="00740560" w:rsidRDefault="00740560">
      <w:pPr>
        <w:pStyle w:val="FootnoteText"/>
      </w:pPr>
      <w:r w:rsidRPr="0046396D">
        <w:rPr>
          <w:rStyle w:val="FootnoteReference"/>
        </w:rPr>
        <w:footnoteRef/>
      </w:r>
      <w:r w:rsidRPr="0046396D">
        <w:t xml:space="preserve">  The frequency of panel meetings varies between LAs, although it is mostly weekly; further detail is included in the table at the end of this document on pages 4-5. Some LAs have in place or are trialling special school placement panels, which would typically meet less frequently (every 3 or 4 weeks). Other LAs have an annual or termly admissions panel meeting with their local special schools, including a meeting in January to review all the consultations for placement starting the following academic year. This can be supplemented by regular communication between the special school and gatekeeper/ link SEND officer to monitor availability and individual placements.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5412"/>
    <w:multiLevelType w:val="hybridMultilevel"/>
    <w:tmpl w:val="3FD8C110"/>
    <w:lvl w:ilvl="0" w:tplc="08090003">
      <w:start w:val="1"/>
      <w:numFmt w:val="bullet"/>
      <w:lvlText w:val="o"/>
      <w:lvlJc w:val="left"/>
      <w:pPr>
        <w:ind w:left="1571" w:hanging="360"/>
      </w:pPr>
      <w:rPr>
        <w:rFonts w:ascii="Courier New" w:hAnsi="Courier New" w:cs="Courier New"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 w15:restartNumberingAfterBreak="0">
    <w:nsid w:val="065637B6"/>
    <w:multiLevelType w:val="hybridMultilevel"/>
    <w:tmpl w:val="1730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C01AC"/>
    <w:multiLevelType w:val="hybridMultilevel"/>
    <w:tmpl w:val="A5A66206"/>
    <w:lvl w:ilvl="0" w:tplc="0809001B">
      <w:start w:val="1"/>
      <w:numFmt w:val="lowerRoman"/>
      <w:lvlText w:val="%1."/>
      <w:lvlJc w:val="right"/>
      <w:pPr>
        <w:ind w:left="860" w:hanging="360"/>
      </w:p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3" w15:restartNumberingAfterBreak="0">
    <w:nsid w:val="1F28026E"/>
    <w:multiLevelType w:val="hybridMultilevel"/>
    <w:tmpl w:val="580C2B42"/>
    <w:lvl w:ilvl="0" w:tplc="D9F2C20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B867C30"/>
    <w:multiLevelType w:val="multilevel"/>
    <w:tmpl w:val="39E0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067CE"/>
    <w:multiLevelType w:val="hybridMultilevel"/>
    <w:tmpl w:val="0F7076C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2D3D3FA5"/>
    <w:multiLevelType w:val="hybridMultilevel"/>
    <w:tmpl w:val="963A9B3E"/>
    <w:lvl w:ilvl="0" w:tplc="08090003">
      <w:start w:val="1"/>
      <w:numFmt w:val="bullet"/>
      <w:lvlText w:val="o"/>
      <w:lvlJc w:val="left"/>
      <w:pPr>
        <w:ind w:left="2230" w:hanging="360"/>
      </w:pPr>
      <w:rPr>
        <w:rFonts w:ascii="Courier New" w:hAnsi="Courier New" w:cs="Courier New" w:hint="default"/>
      </w:rPr>
    </w:lvl>
    <w:lvl w:ilvl="1" w:tplc="08090003" w:tentative="1">
      <w:start w:val="1"/>
      <w:numFmt w:val="bullet"/>
      <w:lvlText w:val="o"/>
      <w:lvlJc w:val="left"/>
      <w:pPr>
        <w:ind w:left="2950" w:hanging="360"/>
      </w:pPr>
      <w:rPr>
        <w:rFonts w:ascii="Courier New" w:hAnsi="Courier New" w:cs="Courier New" w:hint="default"/>
      </w:rPr>
    </w:lvl>
    <w:lvl w:ilvl="2" w:tplc="08090005" w:tentative="1">
      <w:start w:val="1"/>
      <w:numFmt w:val="bullet"/>
      <w:lvlText w:val=""/>
      <w:lvlJc w:val="left"/>
      <w:pPr>
        <w:ind w:left="3670" w:hanging="360"/>
      </w:pPr>
      <w:rPr>
        <w:rFonts w:ascii="Wingdings" w:hAnsi="Wingdings" w:hint="default"/>
      </w:rPr>
    </w:lvl>
    <w:lvl w:ilvl="3" w:tplc="08090001" w:tentative="1">
      <w:start w:val="1"/>
      <w:numFmt w:val="bullet"/>
      <w:lvlText w:val=""/>
      <w:lvlJc w:val="left"/>
      <w:pPr>
        <w:ind w:left="4390" w:hanging="360"/>
      </w:pPr>
      <w:rPr>
        <w:rFonts w:ascii="Symbol" w:hAnsi="Symbol" w:hint="default"/>
      </w:rPr>
    </w:lvl>
    <w:lvl w:ilvl="4" w:tplc="08090003" w:tentative="1">
      <w:start w:val="1"/>
      <w:numFmt w:val="bullet"/>
      <w:lvlText w:val="o"/>
      <w:lvlJc w:val="left"/>
      <w:pPr>
        <w:ind w:left="5110" w:hanging="360"/>
      </w:pPr>
      <w:rPr>
        <w:rFonts w:ascii="Courier New" w:hAnsi="Courier New" w:cs="Courier New" w:hint="default"/>
      </w:rPr>
    </w:lvl>
    <w:lvl w:ilvl="5" w:tplc="08090005" w:tentative="1">
      <w:start w:val="1"/>
      <w:numFmt w:val="bullet"/>
      <w:lvlText w:val=""/>
      <w:lvlJc w:val="left"/>
      <w:pPr>
        <w:ind w:left="5830" w:hanging="360"/>
      </w:pPr>
      <w:rPr>
        <w:rFonts w:ascii="Wingdings" w:hAnsi="Wingdings" w:hint="default"/>
      </w:rPr>
    </w:lvl>
    <w:lvl w:ilvl="6" w:tplc="08090001" w:tentative="1">
      <w:start w:val="1"/>
      <w:numFmt w:val="bullet"/>
      <w:lvlText w:val=""/>
      <w:lvlJc w:val="left"/>
      <w:pPr>
        <w:ind w:left="6550" w:hanging="360"/>
      </w:pPr>
      <w:rPr>
        <w:rFonts w:ascii="Symbol" w:hAnsi="Symbol" w:hint="default"/>
      </w:rPr>
    </w:lvl>
    <w:lvl w:ilvl="7" w:tplc="08090003" w:tentative="1">
      <w:start w:val="1"/>
      <w:numFmt w:val="bullet"/>
      <w:lvlText w:val="o"/>
      <w:lvlJc w:val="left"/>
      <w:pPr>
        <w:ind w:left="7270" w:hanging="360"/>
      </w:pPr>
      <w:rPr>
        <w:rFonts w:ascii="Courier New" w:hAnsi="Courier New" w:cs="Courier New" w:hint="default"/>
      </w:rPr>
    </w:lvl>
    <w:lvl w:ilvl="8" w:tplc="08090005" w:tentative="1">
      <w:start w:val="1"/>
      <w:numFmt w:val="bullet"/>
      <w:lvlText w:val=""/>
      <w:lvlJc w:val="left"/>
      <w:pPr>
        <w:ind w:left="7990" w:hanging="360"/>
      </w:pPr>
      <w:rPr>
        <w:rFonts w:ascii="Wingdings" w:hAnsi="Wingdings" w:hint="default"/>
      </w:rPr>
    </w:lvl>
  </w:abstractNum>
  <w:abstractNum w:abstractNumId="7" w15:restartNumberingAfterBreak="0">
    <w:nsid w:val="496B5373"/>
    <w:multiLevelType w:val="hybridMultilevel"/>
    <w:tmpl w:val="3C92F5AA"/>
    <w:lvl w:ilvl="0" w:tplc="08090003">
      <w:start w:val="1"/>
      <w:numFmt w:val="bullet"/>
      <w:lvlText w:val="o"/>
      <w:lvlJc w:val="left"/>
      <w:pPr>
        <w:ind w:left="2230" w:hanging="360"/>
      </w:pPr>
      <w:rPr>
        <w:rFonts w:ascii="Courier New" w:hAnsi="Courier New" w:cs="Courier New" w:hint="default"/>
      </w:rPr>
    </w:lvl>
    <w:lvl w:ilvl="1" w:tplc="08090003" w:tentative="1">
      <w:start w:val="1"/>
      <w:numFmt w:val="bullet"/>
      <w:lvlText w:val="o"/>
      <w:lvlJc w:val="left"/>
      <w:pPr>
        <w:ind w:left="2950" w:hanging="360"/>
      </w:pPr>
      <w:rPr>
        <w:rFonts w:ascii="Courier New" w:hAnsi="Courier New" w:cs="Courier New" w:hint="default"/>
      </w:rPr>
    </w:lvl>
    <w:lvl w:ilvl="2" w:tplc="08090005" w:tentative="1">
      <w:start w:val="1"/>
      <w:numFmt w:val="bullet"/>
      <w:lvlText w:val=""/>
      <w:lvlJc w:val="left"/>
      <w:pPr>
        <w:ind w:left="3670" w:hanging="360"/>
      </w:pPr>
      <w:rPr>
        <w:rFonts w:ascii="Wingdings" w:hAnsi="Wingdings" w:hint="default"/>
      </w:rPr>
    </w:lvl>
    <w:lvl w:ilvl="3" w:tplc="08090001" w:tentative="1">
      <w:start w:val="1"/>
      <w:numFmt w:val="bullet"/>
      <w:lvlText w:val=""/>
      <w:lvlJc w:val="left"/>
      <w:pPr>
        <w:ind w:left="4390" w:hanging="360"/>
      </w:pPr>
      <w:rPr>
        <w:rFonts w:ascii="Symbol" w:hAnsi="Symbol" w:hint="default"/>
      </w:rPr>
    </w:lvl>
    <w:lvl w:ilvl="4" w:tplc="08090003" w:tentative="1">
      <w:start w:val="1"/>
      <w:numFmt w:val="bullet"/>
      <w:lvlText w:val="o"/>
      <w:lvlJc w:val="left"/>
      <w:pPr>
        <w:ind w:left="5110" w:hanging="360"/>
      </w:pPr>
      <w:rPr>
        <w:rFonts w:ascii="Courier New" w:hAnsi="Courier New" w:cs="Courier New" w:hint="default"/>
      </w:rPr>
    </w:lvl>
    <w:lvl w:ilvl="5" w:tplc="08090005" w:tentative="1">
      <w:start w:val="1"/>
      <w:numFmt w:val="bullet"/>
      <w:lvlText w:val=""/>
      <w:lvlJc w:val="left"/>
      <w:pPr>
        <w:ind w:left="5830" w:hanging="360"/>
      </w:pPr>
      <w:rPr>
        <w:rFonts w:ascii="Wingdings" w:hAnsi="Wingdings" w:hint="default"/>
      </w:rPr>
    </w:lvl>
    <w:lvl w:ilvl="6" w:tplc="08090001" w:tentative="1">
      <w:start w:val="1"/>
      <w:numFmt w:val="bullet"/>
      <w:lvlText w:val=""/>
      <w:lvlJc w:val="left"/>
      <w:pPr>
        <w:ind w:left="6550" w:hanging="360"/>
      </w:pPr>
      <w:rPr>
        <w:rFonts w:ascii="Symbol" w:hAnsi="Symbol" w:hint="default"/>
      </w:rPr>
    </w:lvl>
    <w:lvl w:ilvl="7" w:tplc="08090003" w:tentative="1">
      <w:start w:val="1"/>
      <w:numFmt w:val="bullet"/>
      <w:lvlText w:val="o"/>
      <w:lvlJc w:val="left"/>
      <w:pPr>
        <w:ind w:left="7270" w:hanging="360"/>
      </w:pPr>
      <w:rPr>
        <w:rFonts w:ascii="Courier New" w:hAnsi="Courier New" w:cs="Courier New" w:hint="default"/>
      </w:rPr>
    </w:lvl>
    <w:lvl w:ilvl="8" w:tplc="08090005" w:tentative="1">
      <w:start w:val="1"/>
      <w:numFmt w:val="bullet"/>
      <w:lvlText w:val=""/>
      <w:lvlJc w:val="left"/>
      <w:pPr>
        <w:ind w:left="7990" w:hanging="360"/>
      </w:pPr>
      <w:rPr>
        <w:rFonts w:ascii="Wingdings" w:hAnsi="Wingdings" w:hint="default"/>
      </w:rPr>
    </w:lvl>
  </w:abstractNum>
  <w:abstractNum w:abstractNumId="8" w15:restartNumberingAfterBreak="0">
    <w:nsid w:val="5AD575D7"/>
    <w:multiLevelType w:val="hybridMultilevel"/>
    <w:tmpl w:val="2FF07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C464116"/>
    <w:multiLevelType w:val="hybridMultilevel"/>
    <w:tmpl w:val="738A0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30D397D"/>
    <w:multiLevelType w:val="hybridMultilevel"/>
    <w:tmpl w:val="6A581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9A6AB4"/>
    <w:multiLevelType w:val="hybridMultilevel"/>
    <w:tmpl w:val="75187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886C74"/>
    <w:multiLevelType w:val="hybridMultilevel"/>
    <w:tmpl w:val="DE8EA69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6CC80A67"/>
    <w:multiLevelType w:val="hybridMultilevel"/>
    <w:tmpl w:val="A838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0A1066"/>
    <w:multiLevelType w:val="hybridMultilevel"/>
    <w:tmpl w:val="8D207BB4"/>
    <w:lvl w:ilvl="0" w:tplc="BF44163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6336745">
    <w:abstractNumId w:val="13"/>
  </w:num>
  <w:num w:numId="2" w16cid:durableId="1132481739">
    <w:abstractNumId w:val="14"/>
  </w:num>
  <w:num w:numId="3" w16cid:durableId="1346591436">
    <w:abstractNumId w:val="1"/>
  </w:num>
  <w:num w:numId="4" w16cid:durableId="629677699">
    <w:abstractNumId w:val="3"/>
  </w:num>
  <w:num w:numId="5" w16cid:durableId="1541825335">
    <w:abstractNumId w:val="11"/>
  </w:num>
  <w:num w:numId="6" w16cid:durableId="1965647332">
    <w:abstractNumId w:val="10"/>
  </w:num>
  <w:num w:numId="7" w16cid:durableId="2044866918">
    <w:abstractNumId w:val="8"/>
  </w:num>
  <w:num w:numId="8" w16cid:durableId="1977487216">
    <w:abstractNumId w:val="9"/>
  </w:num>
  <w:num w:numId="9" w16cid:durableId="2090612223">
    <w:abstractNumId w:val="6"/>
  </w:num>
  <w:num w:numId="10" w16cid:durableId="148209150">
    <w:abstractNumId w:val="7"/>
  </w:num>
  <w:num w:numId="11" w16cid:durableId="1301839753">
    <w:abstractNumId w:val="12"/>
  </w:num>
  <w:num w:numId="12" w16cid:durableId="277492272">
    <w:abstractNumId w:val="5"/>
  </w:num>
  <w:num w:numId="13" w16cid:durableId="665669387">
    <w:abstractNumId w:val="2"/>
  </w:num>
  <w:num w:numId="14" w16cid:durableId="1660881381">
    <w:abstractNumId w:val="4"/>
  </w:num>
  <w:num w:numId="15" w16cid:durableId="201090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BC1C36-DFBF-4A55-813B-DCC9965CF725}"/>
    <w:docVar w:name="dgnword-eventsink" w:val="325019408"/>
  </w:docVars>
  <w:rsids>
    <w:rsidRoot w:val="00495BD5"/>
    <w:rsid w:val="00037EEC"/>
    <w:rsid w:val="00047263"/>
    <w:rsid w:val="00091C9E"/>
    <w:rsid w:val="000B51A4"/>
    <w:rsid w:val="000B55BC"/>
    <w:rsid w:val="000B75FC"/>
    <w:rsid w:val="000C362B"/>
    <w:rsid w:val="000C6049"/>
    <w:rsid w:val="000C71B4"/>
    <w:rsid w:val="000D03CA"/>
    <w:rsid w:val="000D6A1A"/>
    <w:rsid w:val="000F7A97"/>
    <w:rsid w:val="00107BF9"/>
    <w:rsid w:val="00114CE4"/>
    <w:rsid w:val="0013016F"/>
    <w:rsid w:val="001346B5"/>
    <w:rsid w:val="001441D7"/>
    <w:rsid w:val="00150BAA"/>
    <w:rsid w:val="00150CA1"/>
    <w:rsid w:val="00151180"/>
    <w:rsid w:val="00152880"/>
    <w:rsid w:val="00155A71"/>
    <w:rsid w:val="00155F5A"/>
    <w:rsid w:val="001767DD"/>
    <w:rsid w:val="00176FD2"/>
    <w:rsid w:val="00182104"/>
    <w:rsid w:val="001A14F7"/>
    <w:rsid w:val="001B47DD"/>
    <w:rsid w:val="001B7ED9"/>
    <w:rsid w:val="001C7890"/>
    <w:rsid w:val="001D006A"/>
    <w:rsid w:val="001D0704"/>
    <w:rsid w:val="001E1D2E"/>
    <w:rsid w:val="001E359A"/>
    <w:rsid w:val="001F0241"/>
    <w:rsid w:val="001F1B14"/>
    <w:rsid w:val="00210BEC"/>
    <w:rsid w:val="00213DD1"/>
    <w:rsid w:val="00223254"/>
    <w:rsid w:val="00231959"/>
    <w:rsid w:val="002449F4"/>
    <w:rsid w:val="00252548"/>
    <w:rsid w:val="00252B94"/>
    <w:rsid w:val="00266C5A"/>
    <w:rsid w:val="0029658A"/>
    <w:rsid w:val="00296E46"/>
    <w:rsid w:val="002A0B2F"/>
    <w:rsid w:val="002A100A"/>
    <w:rsid w:val="002A2129"/>
    <w:rsid w:val="002A24FF"/>
    <w:rsid w:val="002B7B27"/>
    <w:rsid w:val="002B7DCC"/>
    <w:rsid w:val="002F3D30"/>
    <w:rsid w:val="00312D35"/>
    <w:rsid w:val="00313A32"/>
    <w:rsid w:val="00316C91"/>
    <w:rsid w:val="00330673"/>
    <w:rsid w:val="00340264"/>
    <w:rsid w:val="003751F7"/>
    <w:rsid w:val="00380152"/>
    <w:rsid w:val="003A16A7"/>
    <w:rsid w:val="003A1FD5"/>
    <w:rsid w:val="003A2B4E"/>
    <w:rsid w:val="003B002A"/>
    <w:rsid w:val="003F36A9"/>
    <w:rsid w:val="00411F06"/>
    <w:rsid w:val="00435C32"/>
    <w:rsid w:val="004513A8"/>
    <w:rsid w:val="00452B94"/>
    <w:rsid w:val="00454E07"/>
    <w:rsid w:val="0046396D"/>
    <w:rsid w:val="00467910"/>
    <w:rsid w:val="004751E9"/>
    <w:rsid w:val="00493A73"/>
    <w:rsid w:val="00493DB7"/>
    <w:rsid w:val="00495BD5"/>
    <w:rsid w:val="004A7351"/>
    <w:rsid w:val="004C0A77"/>
    <w:rsid w:val="004C2630"/>
    <w:rsid w:val="004D10D4"/>
    <w:rsid w:val="004D1463"/>
    <w:rsid w:val="004E1EDC"/>
    <w:rsid w:val="004E3C43"/>
    <w:rsid w:val="004E5E1E"/>
    <w:rsid w:val="0050406A"/>
    <w:rsid w:val="00522F84"/>
    <w:rsid w:val="005337F4"/>
    <w:rsid w:val="00533C35"/>
    <w:rsid w:val="00540544"/>
    <w:rsid w:val="00540A9D"/>
    <w:rsid w:val="00541AC8"/>
    <w:rsid w:val="005425E4"/>
    <w:rsid w:val="00544E09"/>
    <w:rsid w:val="00572EBD"/>
    <w:rsid w:val="0058477F"/>
    <w:rsid w:val="00590128"/>
    <w:rsid w:val="005916BE"/>
    <w:rsid w:val="00591D67"/>
    <w:rsid w:val="0059493B"/>
    <w:rsid w:val="005B4A84"/>
    <w:rsid w:val="005C7994"/>
    <w:rsid w:val="005D475F"/>
    <w:rsid w:val="005D7303"/>
    <w:rsid w:val="005E114F"/>
    <w:rsid w:val="005E2094"/>
    <w:rsid w:val="00603F7C"/>
    <w:rsid w:val="00611F03"/>
    <w:rsid w:val="006178DC"/>
    <w:rsid w:val="00637CC5"/>
    <w:rsid w:val="00653AE9"/>
    <w:rsid w:val="00654F24"/>
    <w:rsid w:val="00676B21"/>
    <w:rsid w:val="006816AE"/>
    <w:rsid w:val="0068333A"/>
    <w:rsid w:val="00686431"/>
    <w:rsid w:val="00686E79"/>
    <w:rsid w:val="00691DF5"/>
    <w:rsid w:val="006969EC"/>
    <w:rsid w:val="006A4250"/>
    <w:rsid w:val="006A6162"/>
    <w:rsid w:val="006B02A0"/>
    <w:rsid w:val="006B0BCB"/>
    <w:rsid w:val="006B444C"/>
    <w:rsid w:val="006C089D"/>
    <w:rsid w:val="006C4925"/>
    <w:rsid w:val="006C5093"/>
    <w:rsid w:val="006E55DC"/>
    <w:rsid w:val="006F0E84"/>
    <w:rsid w:val="007364EE"/>
    <w:rsid w:val="00740560"/>
    <w:rsid w:val="0074490F"/>
    <w:rsid w:val="007526F9"/>
    <w:rsid w:val="00757A52"/>
    <w:rsid w:val="007623A1"/>
    <w:rsid w:val="00774E70"/>
    <w:rsid w:val="007A1651"/>
    <w:rsid w:val="007B51F9"/>
    <w:rsid w:val="007C3174"/>
    <w:rsid w:val="007C394B"/>
    <w:rsid w:val="007D2732"/>
    <w:rsid w:val="007D6338"/>
    <w:rsid w:val="007E2137"/>
    <w:rsid w:val="007E444D"/>
    <w:rsid w:val="007E445D"/>
    <w:rsid w:val="007E6D1C"/>
    <w:rsid w:val="007F6497"/>
    <w:rsid w:val="007F7704"/>
    <w:rsid w:val="0081676D"/>
    <w:rsid w:val="00825984"/>
    <w:rsid w:val="008262BF"/>
    <w:rsid w:val="00853D92"/>
    <w:rsid w:val="0087088A"/>
    <w:rsid w:val="00880076"/>
    <w:rsid w:val="008921D6"/>
    <w:rsid w:val="008A1040"/>
    <w:rsid w:val="008B07F7"/>
    <w:rsid w:val="008B578D"/>
    <w:rsid w:val="008E7A11"/>
    <w:rsid w:val="0090702D"/>
    <w:rsid w:val="0091068B"/>
    <w:rsid w:val="0091103F"/>
    <w:rsid w:val="00914B72"/>
    <w:rsid w:val="00922AB4"/>
    <w:rsid w:val="00945BDB"/>
    <w:rsid w:val="0096057F"/>
    <w:rsid w:val="00964878"/>
    <w:rsid w:val="009651E3"/>
    <w:rsid w:val="00965942"/>
    <w:rsid w:val="00967DCC"/>
    <w:rsid w:val="009762DB"/>
    <w:rsid w:val="009839E8"/>
    <w:rsid w:val="00985F11"/>
    <w:rsid w:val="00992BC6"/>
    <w:rsid w:val="009939BB"/>
    <w:rsid w:val="009B1D84"/>
    <w:rsid w:val="009F6D48"/>
    <w:rsid w:val="00A04175"/>
    <w:rsid w:val="00A131BB"/>
    <w:rsid w:val="00A409D5"/>
    <w:rsid w:val="00A4440F"/>
    <w:rsid w:val="00A45B57"/>
    <w:rsid w:val="00A47D38"/>
    <w:rsid w:val="00A56916"/>
    <w:rsid w:val="00A731C8"/>
    <w:rsid w:val="00A80773"/>
    <w:rsid w:val="00A95867"/>
    <w:rsid w:val="00A963FA"/>
    <w:rsid w:val="00AA45F6"/>
    <w:rsid w:val="00AB425E"/>
    <w:rsid w:val="00AC0E8C"/>
    <w:rsid w:val="00AC4630"/>
    <w:rsid w:val="00AD405D"/>
    <w:rsid w:val="00AD44DD"/>
    <w:rsid w:val="00AD5299"/>
    <w:rsid w:val="00AF0B09"/>
    <w:rsid w:val="00B046F6"/>
    <w:rsid w:val="00B07F32"/>
    <w:rsid w:val="00B20E6C"/>
    <w:rsid w:val="00B23F1D"/>
    <w:rsid w:val="00B4035E"/>
    <w:rsid w:val="00B557EB"/>
    <w:rsid w:val="00B65313"/>
    <w:rsid w:val="00B742D4"/>
    <w:rsid w:val="00B83B4B"/>
    <w:rsid w:val="00B93973"/>
    <w:rsid w:val="00BA2573"/>
    <w:rsid w:val="00BA4148"/>
    <w:rsid w:val="00BB6647"/>
    <w:rsid w:val="00BC3F04"/>
    <w:rsid w:val="00BE1B7B"/>
    <w:rsid w:val="00BE52F6"/>
    <w:rsid w:val="00BF1B0B"/>
    <w:rsid w:val="00C04E84"/>
    <w:rsid w:val="00C116D0"/>
    <w:rsid w:val="00C15036"/>
    <w:rsid w:val="00C34386"/>
    <w:rsid w:val="00C82263"/>
    <w:rsid w:val="00C87DA6"/>
    <w:rsid w:val="00C92AB1"/>
    <w:rsid w:val="00C94CC9"/>
    <w:rsid w:val="00C975E3"/>
    <w:rsid w:val="00CA424F"/>
    <w:rsid w:val="00CD2ED9"/>
    <w:rsid w:val="00CD496A"/>
    <w:rsid w:val="00CE59D4"/>
    <w:rsid w:val="00D06437"/>
    <w:rsid w:val="00D1189B"/>
    <w:rsid w:val="00D23FC7"/>
    <w:rsid w:val="00D425C2"/>
    <w:rsid w:val="00D53DFC"/>
    <w:rsid w:val="00D549B3"/>
    <w:rsid w:val="00D7263E"/>
    <w:rsid w:val="00D777DB"/>
    <w:rsid w:val="00D84A2C"/>
    <w:rsid w:val="00D87F6F"/>
    <w:rsid w:val="00D90BCA"/>
    <w:rsid w:val="00E062B4"/>
    <w:rsid w:val="00E071BC"/>
    <w:rsid w:val="00E44162"/>
    <w:rsid w:val="00E44D8A"/>
    <w:rsid w:val="00E661B5"/>
    <w:rsid w:val="00E7199A"/>
    <w:rsid w:val="00E76E64"/>
    <w:rsid w:val="00E81B0E"/>
    <w:rsid w:val="00E9066F"/>
    <w:rsid w:val="00E91EF2"/>
    <w:rsid w:val="00E9334B"/>
    <w:rsid w:val="00EA4B52"/>
    <w:rsid w:val="00EA4CBE"/>
    <w:rsid w:val="00EA6CED"/>
    <w:rsid w:val="00EC2D81"/>
    <w:rsid w:val="00ED2D61"/>
    <w:rsid w:val="00ED5BE7"/>
    <w:rsid w:val="00ED7F37"/>
    <w:rsid w:val="00EE4A6C"/>
    <w:rsid w:val="00F058B1"/>
    <w:rsid w:val="00F10755"/>
    <w:rsid w:val="00F21ED8"/>
    <w:rsid w:val="00F33ADF"/>
    <w:rsid w:val="00F448E7"/>
    <w:rsid w:val="00F71237"/>
    <w:rsid w:val="00F7400B"/>
    <w:rsid w:val="00F9200A"/>
    <w:rsid w:val="00FC090F"/>
    <w:rsid w:val="00FC61ED"/>
    <w:rsid w:val="00FD2915"/>
    <w:rsid w:val="00FD6B13"/>
    <w:rsid w:val="00FE69CB"/>
    <w:rsid w:val="00FF022E"/>
    <w:rsid w:val="00FF365E"/>
    <w:rsid w:val="00FF44A3"/>
    <w:rsid w:val="00FF6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26A38"/>
  <w15:docId w15:val="{FAEFD563-24BF-450E-97AC-882234B8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5A7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773"/>
    <w:pPr>
      <w:ind w:left="720"/>
      <w:contextualSpacing/>
    </w:pPr>
  </w:style>
  <w:style w:type="paragraph" w:styleId="Header">
    <w:name w:val="header"/>
    <w:basedOn w:val="Normal"/>
    <w:link w:val="HeaderChar"/>
    <w:uiPriority w:val="99"/>
    <w:unhideWhenUsed/>
    <w:rsid w:val="00176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7DD"/>
  </w:style>
  <w:style w:type="paragraph" w:styleId="Footer">
    <w:name w:val="footer"/>
    <w:basedOn w:val="Normal"/>
    <w:link w:val="FooterChar"/>
    <w:uiPriority w:val="99"/>
    <w:unhideWhenUsed/>
    <w:rsid w:val="00176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7DD"/>
  </w:style>
  <w:style w:type="paragraph" w:styleId="BalloonText">
    <w:name w:val="Balloon Text"/>
    <w:basedOn w:val="Normal"/>
    <w:link w:val="BalloonTextChar"/>
    <w:uiPriority w:val="99"/>
    <w:semiHidden/>
    <w:unhideWhenUsed/>
    <w:rsid w:val="00594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93B"/>
    <w:rPr>
      <w:rFonts w:ascii="Tahoma" w:hAnsi="Tahoma" w:cs="Tahoma"/>
      <w:sz w:val="16"/>
      <w:szCs w:val="16"/>
    </w:rPr>
  </w:style>
  <w:style w:type="table" w:styleId="TableGrid">
    <w:name w:val="Table Grid"/>
    <w:basedOn w:val="TableNormal"/>
    <w:uiPriority w:val="59"/>
    <w:rsid w:val="00182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8DC"/>
    <w:rPr>
      <w:color w:val="0000FF" w:themeColor="hyperlink"/>
      <w:u w:val="single"/>
    </w:rPr>
  </w:style>
  <w:style w:type="character" w:styleId="UnresolvedMention">
    <w:name w:val="Unresolved Mention"/>
    <w:basedOn w:val="DefaultParagraphFont"/>
    <w:uiPriority w:val="99"/>
    <w:semiHidden/>
    <w:unhideWhenUsed/>
    <w:rsid w:val="001E359A"/>
    <w:rPr>
      <w:color w:val="605E5C"/>
      <w:shd w:val="clear" w:color="auto" w:fill="E1DFDD"/>
    </w:rPr>
  </w:style>
  <w:style w:type="paragraph" w:customStyle="1" w:styleId="Default">
    <w:name w:val="Default"/>
    <w:rsid w:val="007C3174"/>
    <w:pPr>
      <w:autoSpaceDE w:val="0"/>
      <w:autoSpaceDN w:val="0"/>
      <w:adjustRightInd w:val="0"/>
      <w:spacing w:after="0" w:line="240" w:lineRule="auto"/>
    </w:pPr>
    <w:rPr>
      <w:rFonts w:cs="Arial"/>
      <w:color w:val="000000"/>
      <w:szCs w:val="24"/>
    </w:rPr>
  </w:style>
  <w:style w:type="character" w:styleId="CommentReference">
    <w:name w:val="annotation reference"/>
    <w:basedOn w:val="DefaultParagraphFont"/>
    <w:uiPriority w:val="99"/>
    <w:semiHidden/>
    <w:unhideWhenUsed/>
    <w:rsid w:val="00340264"/>
    <w:rPr>
      <w:sz w:val="16"/>
      <w:szCs w:val="16"/>
    </w:rPr>
  </w:style>
  <w:style w:type="paragraph" w:styleId="CommentText">
    <w:name w:val="annotation text"/>
    <w:basedOn w:val="Normal"/>
    <w:link w:val="CommentTextChar"/>
    <w:uiPriority w:val="99"/>
    <w:unhideWhenUsed/>
    <w:rsid w:val="00340264"/>
    <w:pPr>
      <w:spacing w:line="240" w:lineRule="auto"/>
    </w:pPr>
    <w:rPr>
      <w:sz w:val="20"/>
      <w:szCs w:val="20"/>
    </w:rPr>
  </w:style>
  <w:style w:type="character" w:customStyle="1" w:styleId="CommentTextChar">
    <w:name w:val="Comment Text Char"/>
    <w:basedOn w:val="DefaultParagraphFont"/>
    <w:link w:val="CommentText"/>
    <w:uiPriority w:val="99"/>
    <w:rsid w:val="00340264"/>
    <w:rPr>
      <w:sz w:val="20"/>
      <w:szCs w:val="20"/>
    </w:rPr>
  </w:style>
  <w:style w:type="paragraph" w:styleId="CommentSubject">
    <w:name w:val="annotation subject"/>
    <w:basedOn w:val="CommentText"/>
    <w:next w:val="CommentText"/>
    <w:link w:val="CommentSubjectChar"/>
    <w:uiPriority w:val="99"/>
    <w:semiHidden/>
    <w:unhideWhenUsed/>
    <w:rsid w:val="00340264"/>
    <w:rPr>
      <w:b/>
      <w:bCs/>
    </w:rPr>
  </w:style>
  <w:style w:type="character" w:customStyle="1" w:styleId="CommentSubjectChar">
    <w:name w:val="Comment Subject Char"/>
    <w:basedOn w:val="CommentTextChar"/>
    <w:link w:val="CommentSubject"/>
    <w:uiPriority w:val="99"/>
    <w:semiHidden/>
    <w:rsid w:val="00340264"/>
    <w:rPr>
      <w:b/>
      <w:bCs/>
      <w:sz w:val="20"/>
      <w:szCs w:val="20"/>
    </w:rPr>
  </w:style>
  <w:style w:type="paragraph" w:styleId="FootnoteText">
    <w:name w:val="footnote text"/>
    <w:basedOn w:val="Normal"/>
    <w:link w:val="FootnoteTextChar"/>
    <w:uiPriority w:val="99"/>
    <w:semiHidden/>
    <w:unhideWhenUsed/>
    <w:rsid w:val="007405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560"/>
    <w:rPr>
      <w:sz w:val="20"/>
      <w:szCs w:val="20"/>
    </w:rPr>
  </w:style>
  <w:style w:type="character" w:styleId="FootnoteReference">
    <w:name w:val="footnote reference"/>
    <w:basedOn w:val="DefaultParagraphFont"/>
    <w:uiPriority w:val="99"/>
    <w:semiHidden/>
    <w:unhideWhenUsed/>
    <w:rsid w:val="00740560"/>
    <w:rPr>
      <w:vertAlign w:val="superscript"/>
    </w:rPr>
  </w:style>
  <w:style w:type="character" w:customStyle="1" w:styleId="Heading2Char">
    <w:name w:val="Heading 2 Char"/>
    <w:basedOn w:val="DefaultParagraphFont"/>
    <w:link w:val="Heading2"/>
    <w:uiPriority w:val="9"/>
    <w:rsid w:val="00155A7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FC090F"/>
    <w:rPr>
      <w:color w:val="800080" w:themeColor="followedHyperlink"/>
      <w:u w:val="single"/>
    </w:rPr>
  </w:style>
  <w:style w:type="paragraph" w:styleId="Revision">
    <w:name w:val="Revision"/>
    <w:hidden/>
    <w:uiPriority w:val="99"/>
    <w:semiHidden/>
    <w:rsid w:val="008A1040"/>
    <w:pPr>
      <w:spacing w:after="0" w:line="240" w:lineRule="auto"/>
    </w:pPr>
  </w:style>
  <w:style w:type="table" w:customStyle="1" w:styleId="a">
    <w:name w:val="a"/>
    <w:basedOn w:val="TableNormal"/>
    <w:rsid w:val="001E1D2E"/>
    <w:pPr>
      <w:spacing w:after="0" w:line="240" w:lineRule="auto"/>
    </w:pPr>
    <w:rPr>
      <w:rFonts w:eastAsia="Arial" w:cs="Arial"/>
      <w:sz w:val="22"/>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976237">
      <w:bodyDiv w:val="1"/>
      <w:marLeft w:val="0"/>
      <w:marRight w:val="0"/>
      <w:marTop w:val="0"/>
      <w:marBottom w:val="0"/>
      <w:divBdr>
        <w:top w:val="none" w:sz="0" w:space="0" w:color="auto"/>
        <w:left w:val="none" w:sz="0" w:space="0" w:color="auto"/>
        <w:bottom w:val="none" w:sz="0" w:space="0" w:color="auto"/>
        <w:right w:val="none" w:sz="0" w:space="0" w:color="auto"/>
      </w:divBdr>
    </w:div>
    <w:div w:id="276640966">
      <w:bodyDiv w:val="1"/>
      <w:marLeft w:val="0"/>
      <w:marRight w:val="0"/>
      <w:marTop w:val="0"/>
      <w:marBottom w:val="0"/>
      <w:divBdr>
        <w:top w:val="none" w:sz="0" w:space="0" w:color="auto"/>
        <w:left w:val="none" w:sz="0" w:space="0" w:color="auto"/>
        <w:bottom w:val="none" w:sz="0" w:space="0" w:color="auto"/>
        <w:right w:val="none" w:sz="0" w:space="0" w:color="auto"/>
      </w:divBdr>
    </w:div>
    <w:div w:id="837311188">
      <w:bodyDiv w:val="1"/>
      <w:marLeft w:val="0"/>
      <w:marRight w:val="0"/>
      <w:marTop w:val="0"/>
      <w:marBottom w:val="0"/>
      <w:divBdr>
        <w:top w:val="none" w:sz="0" w:space="0" w:color="auto"/>
        <w:left w:val="none" w:sz="0" w:space="0" w:color="auto"/>
        <w:bottom w:val="none" w:sz="0" w:space="0" w:color="auto"/>
        <w:right w:val="none" w:sz="0" w:space="0" w:color="auto"/>
      </w:divBdr>
    </w:div>
    <w:div w:id="847135320">
      <w:bodyDiv w:val="1"/>
      <w:marLeft w:val="0"/>
      <w:marRight w:val="0"/>
      <w:marTop w:val="0"/>
      <w:marBottom w:val="0"/>
      <w:divBdr>
        <w:top w:val="none" w:sz="0" w:space="0" w:color="auto"/>
        <w:left w:val="none" w:sz="0" w:space="0" w:color="auto"/>
        <w:bottom w:val="none" w:sz="0" w:space="0" w:color="auto"/>
        <w:right w:val="none" w:sz="0" w:space="0" w:color="auto"/>
      </w:divBdr>
    </w:div>
    <w:div w:id="891888433">
      <w:bodyDiv w:val="1"/>
      <w:marLeft w:val="0"/>
      <w:marRight w:val="0"/>
      <w:marTop w:val="0"/>
      <w:marBottom w:val="0"/>
      <w:divBdr>
        <w:top w:val="none" w:sz="0" w:space="0" w:color="auto"/>
        <w:left w:val="none" w:sz="0" w:space="0" w:color="auto"/>
        <w:bottom w:val="none" w:sz="0" w:space="0" w:color="auto"/>
        <w:right w:val="none" w:sz="0" w:space="0" w:color="auto"/>
      </w:divBdr>
    </w:div>
    <w:div w:id="1031762505">
      <w:bodyDiv w:val="1"/>
      <w:marLeft w:val="0"/>
      <w:marRight w:val="0"/>
      <w:marTop w:val="0"/>
      <w:marBottom w:val="0"/>
      <w:divBdr>
        <w:top w:val="none" w:sz="0" w:space="0" w:color="auto"/>
        <w:left w:val="none" w:sz="0" w:space="0" w:color="auto"/>
        <w:bottom w:val="none" w:sz="0" w:space="0" w:color="auto"/>
        <w:right w:val="none" w:sz="0" w:space="0" w:color="auto"/>
      </w:divBdr>
    </w:div>
    <w:div w:id="1057823674">
      <w:bodyDiv w:val="1"/>
      <w:marLeft w:val="0"/>
      <w:marRight w:val="0"/>
      <w:marTop w:val="0"/>
      <w:marBottom w:val="0"/>
      <w:divBdr>
        <w:top w:val="none" w:sz="0" w:space="0" w:color="auto"/>
        <w:left w:val="none" w:sz="0" w:space="0" w:color="auto"/>
        <w:bottom w:val="none" w:sz="0" w:space="0" w:color="auto"/>
        <w:right w:val="none" w:sz="0" w:space="0" w:color="auto"/>
      </w:divBdr>
    </w:div>
    <w:div w:id="1151554956">
      <w:bodyDiv w:val="1"/>
      <w:marLeft w:val="0"/>
      <w:marRight w:val="0"/>
      <w:marTop w:val="0"/>
      <w:marBottom w:val="0"/>
      <w:divBdr>
        <w:top w:val="none" w:sz="0" w:space="0" w:color="auto"/>
        <w:left w:val="none" w:sz="0" w:space="0" w:color="auto"/>
        <w:bottom w:val="none" w:sz="0" w:space="0" w:color="auto"/>
        <w:right w:val="none" w:sz="0" w:space="0" w:color="auto"/>
      </w:divBdr>
    </w:div>
    <w:div w:id="1255241886">
      <w:bodyDiv w:val="1"/>
      <w:marLeft w:val="0"/>
      <w:marRight w:val="0"/>
      <w:marTop w:val="0"/>
      <w:marBottom w:val="0"/>
      <w:divBdr>
        <w:top w:val="none" w:sz="0" w:space="0" w:color="auto"/>
        <w:left w:val="none" w:sz="0" w:space="0" w:color="auto"/>
        <w:bottom w:val="none" w:sz="0" w:space="0" w:color="auto"/>
        <w:right w:val="none" w:sz="0" w:space="0" w:color="auto"/>
      </w:divBdr>
    </w:div>
    <w:div w:id="1276402482">
      <w:bodyDiv w:val="1"/>
      <w:marLeft w:val="0"/>
      <w:marRight w:val="0"/>
      <w:marTop w:val="0"/>
      <w:marBottom w:val="0"/>
      <w:divBdr>
        <w:top w:val="none" w:sz="0" w:space="0" w:color="auto"/>
        <w:left w:val="none" w:sz="0" w:space="0" w:color="auto"/>
        <w:bottom w:val="none" w:sz="0" w:space="0" w:color="auto"/>
        <w:right w:val="none" w:sz="0" w:space="0" w:color="auto"/>
      </w:divBdr>
    </w:div>
    <w:div w:id="1343043995">
      <w:bodyDiv w:val="1"/>
      <w:marLeft w:val="0"/>
      <w:marRight w:val="0"/>
      <w:marTop w:val="0"/>
      <w:marBottom w:val="0"/>
      <w:divBdr>
        <w:top w:val="none" w:sz="0" w:space="0" w:color="auto"/>
        <w:left w:val="none" w:sz="0" w:space="0" w:color="auto"/>
        <w:bottom w:val="none" w:sz="0" w:space="0" w:color="auto"/>
        <w:right w:val="none" w:sz="0" w:space="0" w:color="auto"/>
      </w:divBdr>
    </w:div>
    <w:div w:id="1493179763">
      <w:bodyDiv w:val="1"/>
      <w:marLeft w:val="0"/>
      <w:marRight w:val="0"/>
      <w:marTop w:val="0"/>
      <w:marBottom w:val="0"/>
      <w:divBdr>
        <w:top w:val="none" w:sz="0" w:space="0" w:color="auto"/>
        <w:left w:val="none" w:sz="0" w:space="0" w:color="auto"/>
        <w:bottom w:val="none" w:sz="0" w:space="0" w:color="auto"/>
        <w:right w:val="none" w:sz="0" w:space="0" w:color="auto"/>
      </w:divBdr>
    </w:div>
    <w:div w:id="1569221760">
      <w:bodyDiv w:val="1"/>
      <w:marLeft w:val="0"/>
      <w:marRight w:val="0"/>
      <w:marTop w:val="0"/>
      <w:marBottom w:val="0"/>
      <w:divBdr>
        <w:top w:val="none" w:sz="0" w:space="0" w:color="auto"/>
        <w:left w:val="none" w:sz="0" w:space="0" w:color="auto"/>
        <w:bottom w:val="none" w:sz="0" w:space="0" w:color="auto"/>
        <w:right w:val="none" w:sz="0" w:space="0" w:color="auto"/>
      </w:divBdr>
    </w:div>
    <w:div w:id="196650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sea.org.uk/Pages/FAQs/Category/case-law" TargetMode="External"/><Relationship Id="rId18" Type="http://schemas.openxmlformats.org/officeDocument/2006/relationships/hyperlink" Target="mailto:Michelle.Docking@bedford.gov.uk" TargetMode="External"/><Relationship Id="rId26" Type="http://schemas.openxmlformats.org/officeDocument/2006/relationships/hyperlink" Target="mailto:Hilary.Evans@hertfordshire.gov.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oe.Watts@centralbedfordshire.gov.uk" TargetMode="External"/><Relationship Id="rId34" Type="http://schemas.openxmlformats.org/officeDocument/2006/relationships/hyperlink" Target="mailto:Francesca.Alexander@suffolk.gov.uk" TargetMode="External"/><Relationship Id="rId7" Type="http://schemas.openxmlformats.org/officeDocument/2006/relationships/settings" Target="settings.xml"/><Relationship Id="rId12" Type="http://schemas.openxmlformats.org/officeDocument/2006/relationships/hyperlink" Target="https://www.legislation.gov.uk/ukpga/2014/6/section/39" TargetMode="External"/><Relationship Id="rId17" Type="http://schemas.openxmlformats.org/officeDocument/2006/relationships/hyperlink" Target="https://www.gov.uk/government/publications/high-needs-funding-arrangements-2025-to-2026/high-needs-place-change-process-2025-to-2026-academic-year" TargetMode="External"/><Relationship Id="rId25" Type="http://schemas.openxmlformats.org/officeDocument/2006/relationships/hyperlink" Target="mailto:cathy.gregory@essex.gov.uk" TargetMode="External"/><Relationship Id="rId33" Type="http://schemas.openxmlformats.org/officeDocument/2006/relationships/hyperlink" Target="mailto:TanyaSlessor@southend.gov.uk"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ttps://www.ipsea.org.uk/Pages/FAQs/Category/case-law" TargetMode="External"/><Relationship Id="rId20" Type="http://schemas.openxmlformats.org/officeDocument/2006/relationships/hyperlink" Target="mailto:Rachael.Tomlin@cambridgeshire.gov.uk" TargetMode="External"/><Relationship Id="rId29" Type="http://schemas.openxmlformats.org/officeDocument/2006/relationships/hyperlink" Target="mailto:subrina.dobey@lut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4/6/section/38" TargetMode="External"/><Relationship Id="rId24" Type="http://schemas.openxmlformats.org/officeDocument/2006/relationships/hyperlink" Target="mailto:jenni.scarborough@essex.gov.uk" TargetMode="External"/><Relationship Id="rId32" Type="http://schemas.openxmlformats.org/officeDocument/2006/relationships/hyperlink" Target="mailto:Katie.Barnett@peterborough.gov.uk" TargetMode="External"/><Relationship Id="rId37" Type="http://schemas.openxmlformats.org/officeDocument/2006/relationships/hyperlink" Target="mailto:gtrapp@thurrock.gov.uk"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administrative-appeals-tribunal-decisions/oo-and-bo-v-london-borough-bexley-2023-ukut-223-aac" TargetMode="External"/><Relationship Id="rId23" Type="http://schemas.openxmlformats.org/officeDocument/2006/relationships/hyperlink" Target="mailto:sarahe.harris@essex.gov.uk" TargetMode="External"/><Relationship Id="rId28" Type="http://schemas.openxmlformats.org/officeDocument/2006/relationships/hyperlink" Target="mailto:hazel.stewart@luton.gov.uk" TargetMode="External"/><Relationship Id="rId36" Type="http://schemas.openxmlformats.org/officeDocument/2006/relationships/hyperlink" Target="mailto:joy.settle@suffolk.gov.uk" TargetMode="External"/><Relationship Id="rId10" Type="http://schemas.openxmlformats.org/officeDocument/2006/relationships/endnotes" Target="endnotes.xml"/><Relationship Id="rId19" Type="http://schemas.openxmlformats.org/officeDocument/2006/relationships/hyperlink" Target="mailto:Katy.Blessett@cambridgeshire.gov.uk" TargetMode="External"/><Relationship Id="rId31" Type="http://schemas.openxmlformats.org/officeDocument/2006/relationships/hyperlink" Target="mailto:Nicki.Rider@nor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sea.org.uk/FAQs/when-an-la-can-refuse-to-name-a-school-or-college-because-it-is-incompatible-with-the-efficient-use-of-resources" TargetMode="External"/><Relationship Id="rId22" Type="http://schemas.openxmlformats.org/officeDocument/2006/relationships/hyperlink" Target="mailto:Catherine.Wallis@essex.gov.uk" TargetMode="External"/><Relationship Id="rId27" Type="http://schemas.openxmlformats.org/officeDocument/2006/relationships/hyperlink" Target="mailto:lisa.ellis@luton.gov.uk" TargetMode="External"/><Relationship Id="rId30" Type="http://schemas.openxmlformats.org/officeDocument/2006/relationships/hyperlink" Target="mailto:kim.breen@norfolk.gov.uk" TargetMode="External"/><Relationship Id="rId35" Type="http://schemas.openxmlformats.org/officeDocument/2006/relationships/hyperlink" Target="mailto:lucy.jacobs@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04D8C8797784D939F7DD0EBF84C43" ma:contentTypeVersion="7" ma:contentTypeDescription="Create a new document." ma:contentTypeScope="" ma:versionID="c7981c3b70cab4141ac4b0784fedb6ac">
  <xsd:schema xmlns:xsd="http://www.w3.org/2001/XMLSchema" xmlns:xs="http://www.w3.org/2001/XMLSchema" xmlns:p="http://schemas.microsoft.com/office/2006/metadata/properties" xmlns:ns3="36833d6c-1f4f-43c9-80ba-f86659fe7f91" xmlns:ns4="f34c21ad-c875-4176-bb80-585e5beec4a9" targetNamespace="http://schemas.microsoft.com/office/2006/metadata/properties" ma:root="true" ma:fieldsID="73218639ae880858200914d970520633" ns3:_="" ns4:_="">
    <xsd:import namespace="36833d6c-1f4f-43c9-80ba-f86659fe7f91"/>
    <xsd:import namespace="f34c21ad-c875-4176-bb80-585e5beec4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33d6c-1f4f-43c9-80ba-f86659fe7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c21ad-c875-4176-bb80-585e5beec4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F82C-2E15-4CD6-978B-B854005E67A3}">
  <ds:schemaRefs>
    <ds:schemaRef ds:uri="http://schemas.microsoft.com/sharepoint/v3/contenttype/forms"/>
  </ds:schemaRefs>
</ds:datastoreItem>
</file>

<file path=customXml/itemProps2.xml><?xml version="1.0" encoding="utf-8"?>
<ds:datastoreItem xmlns:ds="http://schemas.openxmlformats.org/officeDocument/2006/customXml" ds:itemID="{743DAD10-729E-4D9E-912D-008848D2C4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A77F89-8327-4509-AB8F-FF71B4610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33d6c-1f4f-43c9-80ba-f86659fe7f91"/>
    <ds:schemaRef ds:uri="f34c21ad-c875-4176-bb80-585e5beec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5C58D-574D-4DB6-8487-348BFDD1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2843</Words>
  <Characters>16207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Palmer</cp:lastModifiedBy>
  <cp:revision>2</cp:revision>
  <cp:lastPrinted>2022-12-05T10:52:00Z</cp:lastPrinted>
  <dcterms:created xsi:type="dcterms:W3CDTF">2024-12-02T15:45:00Z</dcterms:created>
  <dcterms:modified xsi:type="dcterms:W3CDTF">2024-12-02T15:45:00Z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2020-07-13T13:22:37Z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6cc3a294-9cab-49e0-955c-00001e750d77</vt:lpwstr>
  </property>
  <property fmtid="{D5CDD505-2E9C-101B-9397-08002B2CF9AE}" pid="8" name="MSIP_Label_39d8be9e-c8d9-4b9c-bd40-2c27cc7ea2e6_ContentBits">
    <vt:lpwstr>0</vt:lpwstr>
  </property>
  <property fmtid="{D5CDD505-2E9C-101B-9397-08002B2CF9AE}" pid="9" name="ContentTypeId">
    <vt:lpwstr>0x010100FDC04D8C8797784D939F7DD0EBF84C43</vt:lpwstr>
  </property>
</Properties>
</file>