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16AA" w14:textId="5DF9EA71" w:rsidR="004702C1" w:rsidRPr="0094084C" w:rsidRDefault="0094084C" w:rsidP="00CE15F3">
      <w:pPr>
        <w:spacing w:after="0"/>
        <w:jc w:val="both"/>
        <w:rPr>
          <w:rFonts w:ascii="Arial" w:hAnsi="Arial" w:cs="Arial"/>
          <w:b/>
          <w:bCs/>
          <w:noProof/>
          <w:sz w:val="32"/>
          <w:szCs w:val="32"/>
        </w:rPr>
      </w:pPr>
      <w:r w:rsidRPr="0094084C">
        <w:rPr>
          <w:rFonts w:ascii="Arial" w:hAnsi="Arial" w:cs="Arial"/>
          <w:b/>
          <w:bCs/>
          <w:noProof/>
          <w:sz w:val="32"/>
          <w:szCs w:val="32"/>
        </w:rPr>
        <w:t>Terms of reference for SEND Band I Panel</w:t>
      </w:r>
    </w:p>
    <w:p w14:paraId="43C7C630" w14:textId="77777777" w:rsidR="0094084C" w:rsidRPr="0094084C" w:rsidRDefault="0094084C" w:rsidP="00CE15F3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58D9382C" w14:textId="161064D1" w:rsidR="0094084C" w:rsidRDefault="001621A6" w:rsidP="00CE15F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Version Details</w:t>
      </w:r>
    </w:p>
    <w:p w14:paraId="0CC9A7BD" w14:textId="792DAA9F" w:rsidR="001621A6" w:rsidRDefault="001621A6" w:rsidP="001621A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Version: 1</w:t>
      </w:r>
    </w:p>
    <w:p w14:paraId="12985626" w14:textId="1D000F7C" w:rsidR="001621A6" w:rsidRDefault="001621A6" w:rsidP="001621A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Update: 10</w:t>
      </w:r>
      <w:r w:rsidRPr="001621A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2025</w:t>
      </w:r>
    </w:p>
    <w:p w14:paraId="575BDAC9" w14:textId="020AFA9B" w:rsidR="0015420B" w:rsidRDefault="0015420B" w:rsidP="00DD747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Updated by: Gemma Morgan, Joy Settle, Rebecca Piotrowski, </w:t>
      </w:r>
      <w:r w:rsidR="00E1370C">
        <w:rPr>
          <w:rFonts w:ascii="Arial" w:hAnsi="Arial" w:cs="Arial"/>
          <w:sz w:val="24"/>
          <w:szCs w:val="24"/>
        </w:rPr>
        <w:t xml:space="preserve">Mike </w:t>
      </w:r>
      <w:r w:rsidR="00DD747F">
        <w:rPr>
          <w:rFonts w:ascii="Arial" w:hAnsi="Arial" w:cs="Arial"/>
          <w:sz w:val="24"/>
          <w:szCs w:val="24"/>
        </w:rPr>
        <w:t>M</w:t>
      </w:r>
      <w:r w:rsidR="00E1370C">
        <w:rPr>
          <w:rFonts w:ascii="Arial" w:hAnsi="Arial" w:cs="Arial"/>
          <w:sz w:val="24"/>
          <w:szCs w:val="24"/>
        </w:rPr>
        <w:t xml:space="preserve">cKeaveney </w:t>
      </w:r>
    </w:p>
    <w:p w14:paraId="1A380478" w14:textId="457C9B84" w:rsidR="00E1370C" w:rsidRDefault="00E1370C" w:rsidP="001621A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for Review: April 2026</w:t>
      </w:r>
    </w:p>
    <w:p w14:paraId="7D816C53" w14:textId="77777777" w:rsidR="00E1370C" w:rsidRPr="001621A6" w:rsidRDefault="00E1370C" w:rsidP="00E1370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66EFFBDB" w14:textId="6F8E498B" w:rsidR="009D5CD1" w:rsidRDefault="009D5CD1" w:rsidP="00527ED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Band I Funding</w:t>
      </w:r>
    </w:p>
    <w:p w14:paraId="7EA3DE26" w14:textId="29F6C646" w:rsidR="009D5CD1" w:rsidRDefault="00ED7D68" w:rsidP="00527ED3">
      <w:pPr>
        <w:jc w:val="both"/>
        <w:rPr>
          <w:rFonts w:ascii="Arial" w:hAnsi="Arial" w:cs="Arial"/>
          <w:sz w:val="24"/>
          <w:szCs w:val="24"/>
        </w:rPr>
      </w:pPr>
      <w:r w:rsidRPr="00C01151">
        <w:rPr>
          <w:rFonts w:ascii="Arial" w:hAnsi="Arial" w:cs="Arial"/>
          <w:sz w:val="24"/>
          <w:szCs w:val="24"/>
        </w:rPr>
        <w:t xml:space="preserve">Band I Funding </w:t>
      </w:r>
      <w:r w:rsidR="00C01151" w:rsidRPr="00C01151">
        <w:rPr>
          <w:rFonts w:ascii="Arial" w:hAnsi="Arial" w:cs="Arial"/>
          <w:sz w:val="24"/>
          <w:szCs w:val="24"/>
        </w:rPr>
        <w:t xml:space="preserve">is for </w:t>
      </w:r>
      <w:r w:rsidRPr="00C01151">
        <w:rPr>
          <w:rFonts w:ascii="Arial" w:hAnsi="Arial" w:cs="Arial"/>
          <w:sz w:val="24"/>
          <w:szCs w:val="24"/>
        </w:rPr>
        <w:t xml:space="preserve">Individual learners with the most profound </w:t>
      </w:r>
      <w:r w:rsidR="00C909B2">
        <w:rPr>
          <w:rFonts w:ascii="Arial" w:hAnsi="Arial" w:cs="Arial"/>
          <w:sz w:val="24"/>
          <w:szCs w:val="24"/>
        </w:rPr>
        <w:t xml:space="preserve">and multiple </w:t>
      </w:r>
      <w:r w:rsidRPr="00C01151">
        <w:rPr>
          <w:rFonts w:ascii="Arial" w:hAnsi="Arial" w:cs="Arial"/>
          <w:sz w:val="24"/>
          <w:szCs w:val="24"/>
        </w:rPr>
        <w:t>needs whose additional support requires in excess of £22,000 (£6,000 Additional Support plus £16,000 Top-Up)</w:t>
      </w:r>
      <w:r w:rsidR="008920BF">
        <w:rPr>
          <w:rFonts w:ascii="Arial" w:hAnsi="Arial" w:cs="Arial"/>
          <w:sz w:val="24"/>
          <w:szCs w:val="24"/>
        </w:rPr>
        <w:t xml:space="preserve">.  All requests for Band I funding must be </w:t>
      </w:r>
      <w:r w:rsidR="0092343C">
        <w:rPr>
          <w:rFonts w:ascii="Arial" w:hAnsi="Arial" w:cs="Arial"/>
          <w:sz w:val="24"/>
          <w:szCs w:val="24"/>
        </w:rPr>
        <w:t>agreed by the Band I Panel.</w:t>
      </w:r>
      <w:r w:rsidRPr="00C01151">
        <w:rPr>
          <w:rFonts w:ascii="Arial" w:hAnsi="Arial" w:cs="Arial"/>
          <w:sz w:val="24"/>
          <w:szCs w:val="24"/>
        </w:rPr>
        <w:t xml:space="preserve"> </w:t>
      </w:r>
      <w:r w:rsidR="0092343C">
        <w:rPr>
          <w:rFonts w:ascii="Arial" w:hAnsi="Arial" w:cs="Arial"/>
          <w:sz w:val="24"/>
          <w:szCs w:val="24"/>
        </w:rPr>
        <w:t xml:space="preserve"> </w:t>
      </w:r>
      <w:r w:rsidRPr="00C01151">
        <w:rPr>
          <w:rFonts w:ascii="Arial" w:hAnsi="Arial" w:cs="Arial"/>
          <w:sz w:val="24"/>
          <w:szCs w:val="24"/>
        </w:rPr>
        <w:t xml:space="preserve">Enhanced evidence </w:t>
      </w:r>
      <w:r w:rsidR="0092343C">
        <w:rPr>
          <w:rFonts w:ascii="Arial" w:hAnsi="Arial" w:cs="Arial"/>
          <w:sz w:val="24"/>
          <w:szCs w:val="24"/>
        </w:rPr>
        <w:t xml:space="preserve">is </w:t>
      </w:r>
      <w:r w:rsidRPr="00C01151">
        <w:rPr>
          <w:rFonts w:ascii="Arial" w:hAnsi="Arial" w:cs="Arial"/>
          <w:sz w:val="24"/>
          <w:szCs w:val="24"/>
        </w:rPr>
        <w:t>requested and a panel of SEND specialists will meet</w:t>
      </w:r>
      <w:r w:rsidR="0092343C">
        <w:rPr>
          <w:rFonts w:ascii="Arial" w:hAnsi="Arial" w:cs="Arial"/>
          <w:sz w:val="24"/>
          <w:szCs w:val="24"/>
        </w:rPr>
        <w:t xml:space="preserve"> on a termly basis</w:t>
      </w:r>
      <w:r w:rsidRPr="00C01151">
        <w:rPr>
          <w:rFonts w:ascii="Arial" w:hAnsi="Arial" w:cs="Arial"/>
          <w:sz w:val="24"/>
          <w:szCs w:val="24"/>
        </w:rPr>
        <w:t xml:space="preserve"> to discuss the level of support required. </w:t>
      </w:r>
    </w:p>
    <w:p w14:paraId="5FA6A503" w14:textId="6F4C25FF" w:rsidR="00DA21C5" w:rsidRDefault="00DA21C5" w:rsidP="00527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Band I Panel will take place once a term and is always scheduled 2-3 weeks after the half term break.</w:t>
      </w:r>
    </w:p>
    <w:p w14:paraId="120D9C06" w14:textId="77777777" w:rsidR="00855B5A" w:rsidRPr="0094084C" w:rsidRDefault="00855B5A" w:rsidP="00855B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84C">
        <w:rPr>
          <w:rFonts w:ascii="Arial" w:hAnsi="Arial" w:cs="Arial"/>
          <w:b/>
          <w:bCs/>
          <w:sz w:val="24"/>
          <w:szCs w:val="24"/>
        </w:rPr>
        <w:t>Membership</w:t>
      </w:r>
    </w:p>
    <w:p w14:paraId="2F274DF9" w14:textId="009A6CD8" w:rsidR="00855B5A" w:rsidRPr="0094084C" w:rsidRDefault="00855B5A" w:rsidP="00855B5A">
      <w:pPr>
        <w:jc w:val="both"/>
        <w:rPr>
          <w:rFonts w:ascii="Arial" w:hAnsi="Arial" w:cs="Arial"/>
          <w:sz w:val="24"/>
          <w:szCs w:val="24"/>
        </w:rPr>
      </w:pPr>
      <w:r w:rsidRPr="0094084C">
        <w:rPr>
          <w:rFonts w:ascii="Arial" w:hAnsi="Arial" w:cs="Arial"/>
          <w:sz w:val="24"/>
          <w:szCs w:val="24"/>
        </w:rPr>
        <w:t>The Board will be chaired by the Assistant Director for Inclusion</w:t>
      </w:r>
      <w:r w:rsidR="000D62CA">
        <w:rPr>
          <w:rFonts w:ascii="Arial" w:hAnsi="Arial" w:cs="Arial"/>
          <w:sz w:val="24"/>
          <w:szCs w:val="24"/>
        </w:rPr>
        <w:t xml:space="preserve"> Services</w:t>
      </w:r>
      <w:r w:rsidRPr="0094084C">
        <w:rPr>
          <w:rFonts w:ascii="Arial" w:hAnsi="Arial" w:cs="Arial"/>
          <w:sz w:val="24"/>
          <w:szCs w:val="24"/>
        </w:rPr>
        <w:t xml:space="preserve"> and in their absence the Vice Chair will be the Head of SEND Funding and Provider Services. </w:t>
      </w:r>
    </w:p>
    <w:p w14:paraId="11E7215A" w14:textId="77777777" w:rsidR="00855B5A" w:rsidRPr="0094084C" w:rsidRDefault="00855B5A" w:rsidP="00855B5A">
      <w:pPr>
        <w:jc w:val="both"/>
        <w:rPr>
          <w:rFonts w:ascii="Arial" w:hAnsi="Arial" w:cs="Arial"/>
          <w:sz w:val="24"/>
          <w:szCs w:val="24"/>
        </w:rPr>
      </w:pPr>
      <w:r w:rsidRPr="0094084C">
        <w:rPr>
          <w:rFonts w:ascii="Arial" w:hAnsi="Arial" w:cs="Arial"/>
          <w:sz w:val="24"/>
          <w:szCs w:val="24"/>
        </w:rPr>
        <w:t xml:space="preserve">Membership of the Board will be constituted as follows: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5"/>
        <w:gridCol w:w="3241"/>
      </w:tblGrid>
      <w:tr w:rsidR="00855B5A" w14:paraId="27EB9E64" w14:textId="77777777" w:rsidTr="00341C7D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AF72FA4" w14:textId="77777777" w:rsidR="00855B5A" w:rsidRDefault="00855B5A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060ECA">
              <w:rPr>
                <w:rFonts w:ascii="Arial" w:hAnsi="Arial" w:cs="Arial"/>
                <w:b/>
                <w:bCs/>
                <w:sz w:val="24"/>
                <w:szCs w:val="28"/>
              </w:rPr>
              <w:t>Members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(Decision Making)</w:t>
            </w:r>
          </w:p>
        </w:tc>
      </w:tr>
      <w:tr w:rsidR="00855B5A" w14:paraId="0BCF10B1" w14:textId="77777777" w:rsidTr="00341C7D">
        <w:tc>
          <w:tcPr>
            <w:tcW w:w="5775" w:type="dxa"/>
          </w:tcPr>
          <w:p w14:paraId="152826E4" w14:textId="2BD791DB" w:rsidR="00855B5A" w:rsidRDefault="00855B5A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Assistant Director</w:t>
            </w:r>
            <w:r w:rsidR="000D62CA">
              <w:rPr>
                <w:rFonts w:ascii="Arial" w:hAnsi="Arial" w:cs="Arial"/>
                <w:sz w:val="24"/>
                <w:szCs w:val="28"/>
              </w:rPr>
              <w:t xml:space="preserve"> for </w:t>
            </w:r>
            <w:r>
              <w:rPr>
                <w:rFonts w:ascii="Arial" w:hAnsi="Arial" w:cs="Arial"/>
                <w:sz w:val="24"/>
                <w:szCs w:val="28"/>
              </w:rPr>
              <w:t>Inclusion</w:t>
            </w:r>
            <w:r w:rsidR="000D62CA">
              <w:rPr>
                <w:rFonts w:ascii="Arial" w:hAnsi="Arial" w:cs="Arial"/>
                <w:sz w:val="24"/>
                <w:szCs w:val="28"/>
              </w:rPr>
              <w:t xml:space="preserve"> Services</w:t>
            </w:r>
          </w:p>
        </w:tc>
        <w:tc>
          <w:tcPr>
            <w:tcW w:w="3241" w:type="dxa"/>
          </w:tcPr>
          <w:p w14:paraId="4068B406" w14:textId="77777777" w:rsidR="00855B5A" w:rsidRDefault="00855B5A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Chair</w:t>
            </w:r>
          </w:p>
        </w:tc>
      </w:tr>
      <w:tr w:rsidR="00855B5A" w14:paraId="7E930361" w14:textId="77777777" w:rsidTr="00341C7D">
        <w:tc>
          <w:tcPr>
            <w:tcW w:w="5775" w:type="dxa"/>
          </w:tcPr>
          <w:p w14:paraId="21C006DB" w14:textId="77777777" w:rsidR="00855B5A" w:rsidRDefault="00855B5A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Head of SEND Services</w:t>
            </w:r>
          </w:p>
        </w:tc>
        <w:tc>
          <w:tcPr>
            <w:tcW w:w="3241" w:type="dxa"/>
          </w:tcPr>
          <w:p w14:paraId="5ED3CE02" w14:textId="77777777" w:rsidR="00855B5A" w:rsidRDefault="00855B5A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55B5A" w14:paraId="4803D4C1" w14:textId="77777777" w:rsidTr="00341C7D">
        <w:tc>
          <w:tcPr>
            <w:tcW w:w="5775" w:type="dxa"/>
          </w:tcPr>
          <w:p w14:paraId="68F5AC94" w14:textId="77777777" w:rsidR="00855B5A" w:rsidRDefault="00855B5A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Head of Specialist Education Services</w:t>
            </w:r>
          </w:p>
        </w:tc>
        <w:tc>
          <w:tcPr>
            <w:tcW w:w="3241" w:type="dxa"/>
          </w:tcPr>
          <w:p w14:paraId="33EA8BD9" w14:textId="77777777" w:rsidR="00855B5A" w:rsidRDefault="00855B5A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55B5A" w14:paraId="7FB9A7D4" w14:textId="77777777" w:rsidTr="00341C7D">
        <w:tc>
          <w:tcPr>
            <w:tcW w:w="5775" w:type="dxa"/>
          </w:tcPr>
          <w:p w14:paraId="5605D08C" w14:textId="77777777" w:rsidR="00855B5A" w:rsidRDefault="00855B5A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Deputy Head SEND Services</w:t>
            </w:r>
          </w:p>
        </w:tc>
        <w:tc>
          <w:tcPr>
            <w:tcW w:w="3241" w:type="dxa"/>
          </w:tcPr>
          <w:p w14:paraId="381E5BEF" w14:textId="77777777" w:rsidR="00855B5A" w:rsidRDefault="00855B5A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55B5A" w14:paraId="5C061BA9" w14:textId="77777777" w:rsidTr="00341C7D">
        <w:tc>
          <w:tcPr>
            <w:tcW w:w="5775" w:type="dxa"/>
          </w:tcPr>
          <w:p w14:paraId="10685F36" w14:textId="1F8E8805" w:rsidR="00855B5A" w:rsidRDefault="004C3E98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Deputy Head SEND Services</w:t>
            </w:r>
          </w:p>
        </w:tc>
        <w:tc>
          <w:tcPr>
            <w:tcW w:w="3241" w:type="dxa"/>
          </w:tcPr>
          <w:p w14:paraId="0F196360" w14:textId="77777777" w:rsidR="00855B5A" w:rsidRDefault="00855B5A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55B5A" w14:paraId="0BD7A517" w14:textId="77777777" w:rsidTr="00341C7D">
        <w:tc>
          <w:tcPr>
            <w:tcW w:w="5775" w:type="dxa"/>
            <w:shd w:val="clear" w:color="auto" w:fill="BFBFBF" w:themeFill="background1" w:themeFillShade="BF"/>
          </w:tcPr>
          <w:p w14:paraId="71600EAA" w14:textId="77777777" w:rsidR="00855B5A" w:rsidRDefault="00855B5A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Members (Non-Decision Making)</w:t>
            </w:r>
          </w:p>
        </w:tc>
        <w:tc>
          <w:tcPr>
            <w:tcW w:w="3241" w:type="dxa"/>
            <w:shd w:val="clear" w:color="auto" w:fill="BFBFBF" w:themeFill="background1" w:themeFillShade="BF"/>
          </w:tcPr>
          <w:p w14:paraId="0D1F7BA8" w14:textId="77777777" w:rsidR="00855B5A" w:rsidRDefault="00855B5A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55B5A" w14:paraId="0F80D39D" w14:textId="77777777" w:rsidTr="00341C7D">
        <w:tc>
          <w:tcPr>
            <w:tcW w:w="5775" w:type="dxa"/>
          </w:tcPr>
          <w:p w14:paraId="6AE51AA6" w14:textId="77777777" w:rsidR="00855B5A" w:rsidRDefault="00855B5A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Head of SEND Funding and Provider Services</w:t>
            </w:r>
          </w:p>
        </w:tc>
        <w:tc>
          <w:tcPr>
            <w:tcW w:w="3241" w:type="dxa"/>
          </w:tcPr>
          <w:p w14:paraId="723C5474" w14:textId="77777777" w:rsidR="00855B5A" w:rsidRDefault="00855B5A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Vice Chair</w:t>
            </w:r>
          </w:p>
        </w:tc>
      </w:tr>
      <w:tr w:rsidR="00855B5A" w14:paraId="07EE9286" w14:textId="77777777" w:rsidTr="00341C7D">
        <w:tc>
          <w:tcPr>
            <w:tcW w:w="5775" w:type="dxa"/>
          </w:tcPr>
          <w:p w14:paraId="5C42F00C" w14:textId="77777777" w:rsidR="00855B5A" w:rsidRDefault="00855B5A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High Needs Funding Moderation Lead</w:t>
            </w:r>
          </w:p>
        </w:tc>
        <w:tc>
          <w:tcPr>
            <w:tcW w:w="3241" w:type="dxa"/>
          </w:tcPr>
          <w:p w14:paraId="0EFFD72D" w14:textId="77777777" w:rsidR="00855B5A" w:rsidRDefault="00855B5A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55B5A" w14:paraId="4C6BA322" w14:textId="77777777" w:rsidTr="00341C7D">
        <w:tc>
          <w:tcPr>
            <w:tcW w:w="5775" w:type="dxa"/>
          </w:tcPr>
          <w:p w14:paraId="6677C27E" w14:textId="77777777" w:rsidR="00855B5A" w:rsidRDefault="00855B5A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High Needs Funding Moderation Lead</w:t>
            </w:r>
          </w:p>
        </w:tc>
        <w:tc>
          <w:tcPr>
            <w:tcW w:w="3241" w:type="dxa"/>
          </w:tcPr>
          <w:p w14:paraId="1B6D553C" w14:textId="77777777" w:rsidR="00855B5A" w:rsidRDefault="00855B5A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1733D" w14:paraId="11E179C9" w14:textId="77777777" w:rsidTr="00692B6C">
        <w:tc>
          <w:tcPr>
            <w:tcW w:w="5775" w:type="dxa"/>
            <w:shd w:val="clear" w:color="auto" w:fill="BFBFBF" w:themeFill="background1" w:themeFillShade="BF"/>
          </w:tcPr>
          <w:p w14:paraId="4402391E" w14:textId="1D4CDEDC" w:rsidR="00C1733D" w:rsidRDefault="00C1733D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Invited Members</w:t>
            </w:r>
          </w:p>
        </w:tc>
        <w:tc>
          <w:tcPr>
            <w:tcW w:w="3241" w:type="dxa"/>
            <w:shd w:val="clear" w:color="auto" w:fill="BFBFBF" w:themeFill="background1" w:themeFillShade="BF"/>
          </w:tcPr>
          <w:p w14:paraId="2455FD41" w14:textId="77777777" w:rsidR="00C1733D" w:rsidRDefault="00C1733D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1733D" w14:paraId="7EFD02CD" w14:textId="77777777" w:rsidTr="00341C7D">
        <w:tc>
          <w:tcPr>
            <w:tcW w:w="5775" w:type="dxa"/>
          </w:tcPr>
          <w:p w14:paraId="11F511DD" w14:textId="733C0490" w:rsidR="00C1733D" w:rsidRDefault="00C1733D" w:rsidP="00341C7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Special </w:t>
            </w:r>
            <w:r w:rsidR="00692B6C">
              <w:rPr>
                <w:rFonts w:ascii="Arial" w:hAnsi="Arial" w:cs="Arial"/>
                <w:sz w:val="24"/>
                <w:szCs w:val="28"/>
              </w:rPr>
              <w:t>S</w:t>
            </w:r>
            <w:r>
              <w:rPr>
                <w:rFonts w:ascii="Arial" w:hAnsi="Arial" w:cs="Arial"/>
                <w:sz w:val="24"/>
                <w:szCs w:val="28"/>
              </w:rPr>
              <w:t xml:space="preserve">chool Headteachers </w:t>
            </w:r>
            <w:r w:rsidR="00692B6C">
              <w:rPr>
                <w:rFonts w:ascii="Arial" w:hAnsi="Arial" w:cs="Arial"/>
                <w:sz w:val="24"/>
                <w:szCs w:val="28"/>
              </w:rPr>
              <w:t>or Representatives</w:t>
            </w:r>
          </w:p>
        </w:tc>
        <w:tc>
          <w:tcPr>
            <w:tcW w:w="3241" w:type="dxa"/>
          </w:tcPr>
          <w:p w14:paraId="01BB06B5" w14:textId="77777777" w:rsidR="00C1733D" w:rsidRDefault="00C1733D" w:rsidP="00341C7D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0511032B" w14:textId="77777777" w:rsidR="00764A7D" w:rsidRDefault="00764A7D" w:rsidP="00855B5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65253C" w14:textId="53FF529C" w:rsidR="00855B5A" w:rsidRDefault="00855B5A" w:rsidP="00855B5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Quorate</w:t>
      </w:r>
    </w:p>
    <w:p w14:paraId="1C524498" w14:textId="388D0BDC" w:rsidR="00855B5A" w:rsidRPr="004136A8" w:rsidRDefault="00855B5A" w:rsidP="00855B5A">
      <w:pPr>
        <w:jc w:val="both"/>
        <w:rPr>
          <w:rFonts w:ascii="Arial" w:hAnsi="Arial" w:cs="Arial"/>
          <w:sz w:val="24"/>
          <w:szCs w:val="28"/>
        </w:rPr>
      </w:pPr>
      <w:r w:rsidRPr="004136A8">
        <w:rPr>
          <w:rFonts w:ascii="Arial" w:hAnsi="Arial" w:cs="Arial"/>
          <w:sz w:val="24"/>
          <w:szCs w:val="28"/>
        </w:rPr>
        <w:t xml:space="preserve">The group has five decision making members and three supporting members, in order for the group to be quorate three decision making members need to be in </w:t>
      </w:r>
      <w:r>
        <w:rPr>
          <w:rFonts w:ascii="Arial" w:hAnsi="Arial" w:cs="Arial"/>
          <w:sz w:val="24"/>
          <w:szCs w:val="28"/>
        </w:rPr>
        <w:t>a</w:t>
      </w:r>
      <w:r w:rsidRPr="004136A8">
        <w:rPr>
          <w:rFonts w:ascii="Arial" w:hAnsi="Arial" w:cs="Arial"/>
          <w:sz w:val="24"/>
          <w:szCs w:val="28"/>
        </w:rPr>
        <w:t xml:space="preserve">ttendance and two of the non-decision making members. </w:t>
      </w:r>
    </w:p>
    <w:p w14:paraId="6E15BF65" w14:textId="2435902E" w:rsidR="00B676B7" w:rsidRPr="00530165" w:rsidRDefault="00EA1101" w:rsidP="00527ED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Remit and </w:t>
      </w:r>
      <w:r w:rsidR="00B676B7" w:rsidRPr="00530165">
        <w:rPr>
          <w:rFonts w:ascii="Arial" w:hAnsi="Arial" w:cs="Arial"/>
          <w:b/>
          <w:bCs/>
          <w:sz w:val="24"/>
          <w:szCs w:val="24"/>
        </w:rPr>
        <w:t xml:space="preserve">Purpose </w:t>
      </w:r>
    </w:p>
    <w:p w14:paraId="181EE2A0" w14:textId="07FCF714" w:rsidR="002A7B49" w:rsidRDefault="00333735" w:rsidP="005301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530165">
        <w:rPr>
          <w:rFonts w:ascii="Arial" w:hAnsi="Arial" w:cs="Arial"/>
          <w:sz w:val="24"/>
          <w:szCs w:val="28"/>
        </w:rPr>
        <w:t xml:space="preserve">To consider and agree </w:t>
      </w:r>
      <w:r w:rsidR="00043BE2">
        <w:rPr>
          <w:rFonts w:ascii="Arial" w:hAnsi="Arial" w:cs="Arial"/>
          <w:sz w:val="24"/>
          <w:szCs w:val="28"/>
        </w:rPr>
        <w:t xml:space="preserve">all new requests </w:t>
      </w:r>
      <w:r w:rsidR="005421E6">
        <w:rPr>
          <w:rFonts w:ascii="Arial" w:hAnsi="Arial" w:cs="Arial"/>
          <w:sz w:val="24"/>
          <w:szCs w:val="28"/>
        </w:rPr>
        <w:t xml:space="preserve">for </w:t>
      </w:r>
      <w:r w:rsidRPr="00530165">
        <w:rPr>
          <w:rFonts w:ascii="Arial" w:hAnsi="Arial" w:cs="Arial"/>
          <w:sz w:val="24"/>
          <w:szCs w:val="28"/>
        </w:rPr>
        <w:t xml:space="preserve">Band I </w:t>
      </w:r>
      <w:r w:rsidR="00AE1A27">
        <w:rPr>
          <w:rFonts w:ascii="Arial" w:hAnsi="Arial" w:cs="Arial"/>
          <w:sz w:val="24"/>
          <w:szCs w:val="28"/>
        </w:rPr>
        <w:t>f</w:t>
      </w:r>
      <w:r w:rsidRPr="00530165">
        <w:rPr>
          <w:rFonts w:ascii="Arial" w:hAnsi="Arial" w:cs="Arial"/>
          <w:sz w:val="24"/>
          <w:szCs w:val="28"/>
        </w:rPr>
        <w:t>unding applications from Special Schools, Specialist Units</w:t>
      </w:r>
      <w:r w:rsidR="00C909B2">
        <w:rPr>
          <w:rFonts w:ascii="Arial" w:hAnsi="Arial" w:cs="Arial"/>
          <w:sz w:val="24"/>
          <w:szCs w:val="28"/>
        </w:rPr>
        <w:t xml:space="preserve">, </w:t>
      </w:r>
      <w:r w:rsidRPr="00530165">
        <w:rPr>
          <w:rFonts w:ascii="Arial" w:hAnsi="Arial" w:cs="Arial"/>
          <w:sz w:val="24"/>
          <w:szCs w:val="28"/>
        </w:rPr>
        <w:t>Mainstream Schools</w:t>
      </w:r>
      <w:r w:rsidR="00C909B2">
        <w:rPr>
          <w:rFonts w:ascii="Arial" w:hAnsi="Arial" w:cs="Arial"/>
          <w:sz w:val="24"/>
          <w:szCs w:val="28"/>
        </w:rPr>
        <w:t xml:space="preserve"> and FE </w:t>
      </w:r>
      <w:r w:rsidR="00C33C59">
        <w:rPr>
          <w:rFonts w:ascii="Arial" w:hAnsi="Arial" w:cs="Arial"/>
          <w:sz w:val="24"/>
          <w:szCs w:val="28"/>
        </w:rPr>
        <w:t>S</w:t>
      </w:r>
      <w:r w:rsidR="00C909B2">
        <w:rPr>
          <w:rFonts w:ascii="Arial" w:hAnsi="Arial" w:cs="Arial"/>
          <w:sz w:val="24"/>
          <w:szCs w:val="28"/>
        </w:rPr>
        <w:t>ettings</w:t>
      </w:r>
      <w:r w:rsidRPr="00530165">
        <w:rPr>
          <w:rFonts w:ascii="Arial" w:hAnsi="Arial" w:cs="Arial"/>
          <w:sz w:val="24"/>
          <w:szCs w:val="28"/>
        </w:rPr>
        <w:t>.</w:t>
      </w:r>
    </w:p>
    <w:p w14:paraId="4ECFB4A6" w14:textId="00F24A50" w:rsidR="00530165" w:rsidRDefault="00530165" w:rsidP="005301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To </w:t>
      </w:r>
      <w:r w:rsidR="00552B01">
        <w:rPr>
          <w:rFonts w:ascii="Arial" w:hAnsi="Arial" w:cs="Arial"/>
          <w:sz w:val="24"/>
          <w:szCs w:val="28"/>
        </w:rPr>
        <w:t xml:space="preserve">assess </w:t>
      </w:r>
      <w:r w:rsidR="00855B5A">
        <w:rPr>
          <w:rFonts w:ascii="Arial" w:hAnsi="Arial" w:cs="Arial"/>
          <w:sz w:val="24"/>
          <w:szCs w:val="28"/>
        </w:rPr>
        <w:t>information</w:t>
      </w:r>
      <w:r w:rsidR="00552B01">
        <w:rPr>
          <w:rFonts w:ascii="Arial" w:hAnsi="Arial" w:cs="Arial"/>
          <w:sz w:val="24"/>
          <w:szCs w:val="28"/>
        </w:rPr>
        <w:t xml:space="preserve"> provided by the settings as to whether a Band I </w:t>
      </w:r>
      <w:r w:rsidR="00BB55A5">
        <w:rPr>
          <w:rFonts w:ascii="Arial" w:hAnsi="Arial" w:cs="Arial"/>
          <w:sz w:val="24"/>
          <w:szCs w:val="28"/>
        </w:rPr>
        <w:t>is required and for how long.</w:t>
      </w:r>
    </w:p>
    <w:p w14:paraId="7059FDD9" w14:textId="3585BC61" w:rsidR="00BB55A5" w:rsidRDefault="00BB55A5" w:rsidP="005301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Examine the financial information provided and decide if the level of funding is appropriate for the provision requested.</w:t>
      </w:r>
    </w:p>
    <w:p w14:paraId="3ED4922E" w14:textId="1B90A18A" w:rsidR="00AE1A27" w:rsidRDefault="00AE1A27" w:rsidP="005301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To consider and agree any </w:t>
      </w:r>
      <w:r w:rsidR="0096699B">
        <w:rPr>
          <w:rFonts w:ascii="Arial" w:hAnsi="Arial" w:cs="Arial"/>
          <w:sz w:val="24"/>
          <w:szCs w:val="28"/>
        </w:rPr>
        <w:t xml:space="preserve">previously </w:t>
      </w:r>
      <w:r w:rsidR="00275158">
        <w:rPr>
          <w:rFonts w:ascii="Arial" w:hAnsi="Arial" w:cs="Arial"/>
          <w:sz w:val="24"/>
          <w:szCs w:val="28"/>
        </w:rPr>
        <w:t>approved</w:t>
      </w:r>
      <w:r w:rsidR="0096699B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Band I</w:t>
      </w:r>
      <w:r w:rsidR="00534F04">
        <w:rPr>
          <w:rFonts w:ascii="Arial" w:hAnsi="Arial" w:cs="Arial"/>
          <w:sz w:val="24"/>
          <w:szCs w:val="28"/>
        </w:rPr>
        <w:t>s</w:t>
      </w:r>
      <w:r>
        <w:rPr>
          <w:rFonts w:ascii="Arial" w:hAnsi="Arial" w:cs="Arial"/>
          <w:sz w:val="24"/>
          <w:szCs w:val="28"/>
        </w:rPr>
        <w:t xml:space="preserve"> </w:t>
      </w:r>
      <w:r w:rsidR="0096699B">
        <w:rPr>
          <w:rFonts w:ascii="Arial" w:hAnsi="Arial" w:cs="Arial"/>
          <w:sz w:val="24"/>
          <w:szCs w:val="28"/>
        </w:rPr>
        <w:t>which are due for renewal.</w:t>
      </w:r>
      <w:r>
        <w:rPr>
          <w:rFonts w:ascii="Arial" w:hAnsi="Arial" w:cs="Arial"/>
          <w:sz w:val="24"/>
          <w:szCs w:val="28"/>
        </w:rPr>
        <w:t xml:space="preserve"> </w:t>
      </w:r>
    </w:p>
    <w:p w14:paraId="0BC3E27F" w14:textId="21C289DF" w:rsidR="00BB55A5" w:rsidRPr="002864FD" w:rsidRDefault="002864FD" w:rsidP="00BB55A5">
      <w:pPr>
        <w:jc w:val="both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Supporting</w:t>
      </w:r>
      <w:r w:rsidR="00BB55A5" w:rsidRPr="002864FD">
        <w:rPr>
          <w:rFonts w:ascii="Arial" w:hAnsi="Arial" w:cs="Arial"/>
          <w:b/>
          <w:bCs/>
          <w:sz w:val="24"/>
          <w:szCs w:val="28"/>
        </w:rPr>
        <w:t xml:space="preserve"> </w:t>
      </w:r>
      <w:r w:rsidR="006C1FBA" w:rsidRPr="002864FD">
        <w:rPr>
          <w:rFonts w:ascii="Arial" w:hAnsi="Arial" w:cs="Arial"/>
          <w:b/>
          <w:bCs/>
          <w:sz w:val="24"/>
          <w:szCs w:val="28"/>
        </w:rPr>
        <w:t>Information</w:t>
      </w:r>
    </w:p>
    <w:p w14:paraId="0BF0397E" w14:textId="1691EF2C" w:rsidR="00333735" w:rsidRDefault="00333735" w:rsidP="00E0650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6C1FBA">
        <w:rPr>
          <w:rFonts w:ascii="Arial" w:hAnsi="Arial" w:cs="Arial"/>
          <w:sz w:val="24"/>
          <w:szCs w:val="28"/>
        </w:rPr>
        <w:t xml:space="preserve">For </w:t>
      </w:r>
      <w:r w:rsidR="00530165" w:rsidRPr="006C1FBA">
        <w:rPr>
          <w:rFonts w:ascii="Arial" w:hAnsi="Arial" w:cs="Arial"/>
          <w:sz w:val="24"/>
          <w:szCs w:val="28"/>
        </w:rPr>
        <w:t>Special</w:t>
      </w:r>
      <w:r w:rsidRPr="006C1FBA">
        <w:rPr>
          <w:rFonts w:ascii="Arial" w:hAnsi="Arial" w:cs="Arial"/>
          <w:sz w:val="24"/>
          <w:szCs w:val="28"/>
        </w:rPr>
        <w:t xml:space="preserve"> Schools the Headteacher of the school (or representative) will attend the Panel to present the cases for consideration for Band I.  </w:t>
      </w:r>
    </w:p>
    <w:p w14:paraId="2EB7DBBC" w14:textId="621FD9FF" w:rsidR="002864FD" w:rsidRDefault="002864FD" w:rsidP="00E0650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For Specialist Units</w:t>
      </w:r>
      <w:r w:rsidR="00C33C59">
        <w:rPr>
          <w:rFonts w:ascii="Arial" w:hAnsi="Arial" w:cs="Arial"/>
          <w:sz w:val="24"/>
          <w:szCs w:val="28"/>
        </w:rPr>
        <w:t xml:space="preserve">, </w:t>
      </w:r>
      <w:r>
        <w:rPr>
          <w:rFonts w:ascii="Arial" w:hAnsi="Arial" w:cs="Arial"/>
          <w:sz w:val="24"/>
          <w:szCs w:val="28"/>
        </w:rPr>
        <w:t xml:space="preserve">Mainstream Schools </w:t>
      </w:r>
      <w:r w:rsidR="00C33C59">
        <w:rPr>
          <w:rFonts w:ascii="Arial" w:hAnsi="Arial" w:cs="Arial"/>
          <w:sz w:val="24"/>
          <w:szCs w:val="28"/>
        </w:rPr>
        <w:t xml:space="preserve">and FE Settings </w:t>
      </w:r>
      <w:r>
        <w:rPr>
          <w:rFonts w:ascii="Arial" w:hAnsi="Arial" w:cs="Arial"/>
          <w:sz w:val="24"/>
          <w:szCs w:val="28"/>
        </w:rPr>
        <w:t xml:space="preserve">the </w:t>
      </w:r>
      <w:r w:rsidR="000C6399">
        <w:rPr>
          <w:rFonts w:ascii="Arial" w:hAnsi="Arial" w:cs="Arial"/>
          <w:sz w:val="24"/>
          <w:szCs w:val="28"/>
        </w:rPr>
        <w:t>High Needs Funding Moderation Leads will present the case and the supporting information at the panel.</w:t>
      </w:r>
    </w:p>
    <w:p w14:paraId="758E727E" w14:textId="752715DE" w:rsidR="000C6399" w:rsidRPr="006C1FBA" w:rsidRDefault="007311D9" w:rsidP="00E0650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</w:t>
      </w:r>
      <w:r w:rsidR="000C6399">
        <w:rPr>
          <w:rFonts w:ascii="Arial" w:hAnsi="Arial" w:cs="Arial"/>
          <w:sz w:val="24"/>
          <w:szCs w:val="28"/>
        </w:rPr>
        <w:t>eparate panel</w:t>
      </w:r>
      <w:r>
        <w:rPr>
          <w:rFonts w:ascii="Arial" w:hAnsi="Arial" w:cs="Arial"/>
          <w:sz w:val="24"/>
          <w:szCs w:val="28"/>
        </w:rPr>
        <w:t>s</w:t>
      </w:r>
      <w:r w:rsidR="000C6399">
        <w:rPr>
          <w:rFonts w:ascii="Arial" w:hAnsi="Arial" w:cs="Arial"/>
          <w:sz w:val="24"/>
          <w:szCs w:val="28"/>
        </w:rPr>
        <w:t xml:space="preserve"> will be set up </w:t>
      </w:r>
      <w:r>
        <w:rPr>
          <w:rFonts w:ascii="Arial" w:hAnsi="Arial" w:cs="Arial"/>
          <w:sz w:val="24"/>
          <w:szCs w:val="28"/>
        </w:rPr>
        <w:t xml:space="preserve">with one </w:t>
      </w:r>
      <w:r w:rsidR="000C6399">
        <w:rPr>
          <w:rFonts w:ascii="Arial" w:hAnsi="Arial" w:cs="Arial"/>
          <w:sz w:val="24"/>
          <w:szCs w:val="28"/>
        </w:rPr>
        <w:t xml:space="preserve">for </w:t>
      </w:r>
      <w:r w:rsidRPr="00530165">
        <w:rPr>
          <w:rFonts w:ascii="Arial" w:hAnsi="Arial" w:cs="Arial"/>
          <w:sz w:val="24"/>
          <w:szCs w:val="28"/>
        </w:rPr>
        <w:t>Special Schools</w:t>
      </w:r>
      <w:r>
        <w:rPr>
          <w:rFonts w:ascii="Arial" w:hAnsi="Arial" w:cs="Arial"/>
          <w:sz w:val="24"/>
          <w:szCs w:val="28"/>
        </w:rPr>
        <w:t xml:space="preserve"> and another for </w:t>
      </w:r>
      <w:r w:rsidR="002B3CAB">
        <w:rPr>
          <w:rFonts w:ascii="Arial" w:hAnsi="Arial" w:cs="Arial"/>
          <w:sz w:val="24"/>
          <w:szCs w:val="28"/>
        </w:rPr>
        <w:t>Specialist Units, Mainstream Schools and FE Settings</w:t>
      </w:r>
      <w:r w:rsidR="00534F04">
        <w:rPr>
          <w:rFonts w:ascii="Arial" w:hAnsi="Arial" w:cs="Arial"/>
          <w:sz w:val="24"/>
          <w:szCs w:val="28"/>
        </w:rPr>
        <w:t>.</w:t>
      </w:r>
    </w:p>
    <w:p w14:paraId="699845CE" w14:textId="6B32BD52" w:rsidR="00333735" w:rsidRDefault="00333735" w:rsidP="005301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530165">
        <w:rPr>
          <w:rFonts w:ascii="Arial" w:hAnsi="Arial" w:cs="Arial"/>
          <w:sz w:val="24"/>
          <w:szCs w:val="28"/>
        </w:rPr>
        <w:t xml:space="preserve">Band I </w:t>
      </w:r>
      <w:r w:rsidR="000C6399" w:rsidRPr="00530165">
        <w:rPr>
          <w:rFonts w:ascii="Arial" w:hAnsi="Arial" w:cs="Arial"/>
          <w:sz w:val="24"/>
          <w:szCs w:val="28"/>
        </w:rPr>
        <w:t>requests</w:t>
      </w:r>
      <w:r w:rsidRPr="00530165">
        <w:rPr>
          <w:rFonts w:ascii="Arial" w:hAnsi="Arial" w:cs="Arial"/>
          <w:sz w:val="24"/>
          <w:szCs w:val="28"/>
        </w:rPr>
        <w:t xml:space="preserve"> are approved on a </w:t>
      </w:r>
      <w:r w:rsidR="003E68F9" w:rsidRPr="00530165">
        <w:rPr>
          <w:rFonts w:ascii="Arial" w:hAnsi="Arial" w:cs="Arial"/>
          <w:sz w:val="24"/>
          <w:szCs w:val="28"/>
        </w:rPr>
        <w:t>case-by-case</w:t>
      </w:r>
      <w:r w:rsidRPr="00530165">
        <w:rPr>
          <w:rFonts w:ascii="Arial" w:hAnsi="Arial" w:cs="Arial"/>
          <w:sz w:val="24"/>
          <w:szCs w:val="28"/>
        </w:rPr>
        <w:t xml:space="preserve"> basis and for no longer than </w:t>
      </w:r>
      <w:r w:rsidR="00530165" w:rsidRPr="00530165">
        <w:rPr>
          <w:rFonts w:ascii="Arial" w:hAnsi="Arial" w:cs="Arial"/>
          <w:sz w:val="24"/>
          <w:szCs w:val="28"/>
        </w:rPr>
        <w:t xml:space="preserve">one academic year.  Once a Band I </w:t>
      </w:r>
      <w:r w:rsidR="006C1FBA">
        <w:rPr>
          <w:rFonts w:ascii="Arial" w:hAnsi="Arial" w:cs="Arial"/>
          <w:sz w:val="24"/>
          <w:szCs w:val="28"/>
        </w:rPr>
        <w:t xml:space="preserve">is agreed </w:t>
      </w:r>
      <w:r w:rsidR="0022443F">
        <w:rPr>
          <w:rFonts w:ascii="Arial" w:hAnsi="Arial" w:cs="Arial"/>
          <w:sz w:val="24"/>
          <w:szCs w:val="28"/>
        </w:rPr>
        <w:t xml:space="preserve">the school is requested to return for a review once the agreed timeframe has expired. </w:t>
      </w:r>
    </w:p>
    <w:p w14:paraId="368015EB" w14:textId="3EEA34A0" w:rsidR="006C1FBA" w:rsidRDefault="006C1FBA" w:rsidP="005301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Only applications for CYP with EHCPs will be </w:t>
      </w:r>
      <w:r w:rsidR="0022443F">
        <w:rPr>
          <w:rFonts w:ascii="Arial" w:hAnsi="Arial" w:cs="Arial"/>
          <w:sz w:val="24"/>
          <w:szCs w:val="28"/>
        </w:rPr>
        <w:t>considered</w:t>
      </w:r>
      <w:r w:rsidR="00935993">
        <w:rPr>
          <w:rFonts w:ascii="Arial" w:hAnsi="Arial" w:cs="Arial"/>
          <w:sz w:val="24"/>
          <w:szCs w:val="28"/>
        </w:rPr>
        <w:t>, this does not include learners at ECHNA stage,</w:t>
      </w:r>
      <w:r w:rsidR="003E68F9">
        <w:rPr>
          <w:rFonts w:ascii="Arial" w:hAnsi="Arial" w:cs="Arial"/>
          <w:sz w:val="24"/>
          <w:szCs w:val="28"/>
        </w:rPr>
        <w:t xml:space="preserve"> before a Band I can be considered </w:t>
      </w:r>
      <w:r w:rsidR="00935993">
        <w:rPr>
          <w:rFonts w:ascii="Arial" w:hAnsi="Arial" w:cs="Arial"/>
          <w:sz w:val="24"/>
          <w:szCs w:val="28"/>
        </w:rPr>
        <w:t>a draft plan must be in place.</w:t>
      </w:r>
    </w:p>
    <w:p w14:paraId="3E205E96" w14:textId="6549F4EC" w:rsidR="00935993" w:rsidRDefault="00935993" w:rsidP="005301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There is an expectation that before a case is brought to Band I Panel that a Section F consultation has already taken place.</w:t>
      </w:r>
    </w:p>
    <w:p w14:paraId="547D749A" w14:textId="2868B666" w:rsidR="00935993" w:rsidRPr="00251833" w:rsidRDefault="00935993" w:rsidP="00935993">
      <w:pPr>
        <w:jc w:val="both"/>
        <w:rPr>
          <w:rFonts w:ascii="Arial" w:hAnsi="Arial" w:cs="Arial"/>
          <w:b/>
          <w:bCs/>
          <w:sz w:val="24"/>
          <w:szCs w:val="28"/>
        </w:rPr>
      </w:pPr>
      <w:r w:rsidRPr="00251833">
        <w:rPr>
          <w:rFonts w:ascii="Arial" w:hAnsi="Arial" w:cs="Arial"/>
          <w:b/>
          <w:bCs/>
          <w:sz w:val="24"/>
          <w:szCs w:val="28"/>
        </w:rPr>
        <w:t xml:space="preserve">Decisions Outside of </w:t>
      </w:r>
      <w:r w:rsidR="00251833" w:rsidRPr="00251833">
        <w:rPr>
          <w:rFonts w:ascii="Arial" w:hAnsi="Arial" w:cs="Arial"/>
          <w:b/>
          <w:bCs/>
          <w:sz w:val="24"/>
          <w:szCs w:val="28"/>
        </w:rPr>
        <w:t>Panel</w:t>
      </w:r>
    </w:p>
    <w:p w14:paraId="58C6AC8F" w14:textId="072E50BD" w:rsidR="00935993" w:rsidRDefault="00251833" w:rsidP="0093599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No Band I decision should be mad</w:t>
      </w:r>
      <w:r w:rsidR="007008F6">
        <w:rPr>
          <w:rFonts w:ascii="Arial" w:hAnsi="Arial" w:cs="Arial"/>
          <w:sz w:val="24"/>
          <w:szCs w:val="28"/>
        </w:rPr>
        <w:t>e</w:t>
      </w:r>
      <w:r>
        <w:rPr>
          <w:rFonts w:ascii="Arial" w:hAnsi="Arial" w:cs="Arial"/>
          <w:sz w:val="24"/>
          <w:szCs w:val="28"/>
        </w:rPr>
        <w:t xml:space="preserve"> outside of the panel unless there are exceptional circumstances agreed by the Assistant Director</w:t>
      </w:r>
      <w:r w:rsidR="000D62CA">
        <w:rPr>
          <w:rFonts w:ascii="Arial" w:hAnsi="Arial" w:cs="Arial"/>
          <w:sz w:val="24"/>
          <w:szCs w:val="28"/>
        </w:rPr>
        <w:t xml:space="preserve"> for Inclusion Services.</w:t>
      </w:r>
      <w:r>
        <w:rPr>
          <w:rFonts w:ascii="Arial" w:hAnsi="Arial" w:cs="Arial"/>
          <w:sz w:val="24"/>
          <w:szCs w:val="28"/>
        </w:rPr>
        <w:t xml:space="preserve"> </w:t>
      </w:r>
    </w:p>
    <w:p w14:paraId="2F288ED1" w14:textId="18A36C0C" w:rsidR="00251833" w:rsidRDefault="00251833" w:rsidP="0093599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If Band I funding</w:t>
      </w:r>
      <w:r w:rsidR="007008F6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is </w:t>
      </w:r>
      <w:r w:rsidR="007008F6">
        <w:rPr>
          <w:rFonts w:ascii="Arial" w:hAnsi="Arial" w:cs="Arial"/>
          <w:sz w:val="24"/>
          <w:szCs w:val="28"/>
        </w:rPr>
        <w:t xml:space="preserve">requested for a Tribunal Case then this should </w:t>
      </w:r>
      <w:r w:rsidR="00281270">
        <w:rPr>
          <w:rFonts w:ascii="Arial" w:hAnsi="Arial" w:cs="Arial"/>
          <w:sz w:val="24"/>
          <w:szCs w:val="28"/>
        </w:rPr>
        <w:t>also be brought by the Family Services Caseworker to the Band I Panel.  All requests should be agreed in line with all Band I funding</w:t>
      </w:r>
      <w:r w:rsidR="00647BD9">
        <w:rPr>
          <w:rFonts w:ascii="Arial" w:hAnsi="Arial" w:cs="Arial"/>
          <w:sz w:val="24"/>
          <w:szCs w:val="28"/>
        </w:rPr>
        <w:t xml:space="preserve"> and a school cannot request Band I funding outside of this process.</w:t>
      </w:r>
    </w:p>
    <w:p w14:paraId="4485F232" w14:textId="5074D95B" w:rsidR="006B73D8" w:rsidRDefault="00647BD9" w:rsidP="0093599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Any decisions must be </w:t>
      </w:r>
      <w:proofErr w:type="gramStart"/>
      <w:r>
        <w:rPr>
          <w:rFonts w:ascii="Arial" w:hAnsi="Arial" w:cs="Arial"/>
          <w:sz w:val="24"/>
          <w:szCs w:val="28"/>
        </w:rPr>
        <w:t>signed-off</w:t>
      </w:r>
      <w:proofErr w:type="gramEnd"/>
      <w:r>
        <w:rPr>
          <w:rFonts w:ascii="Arial" w:hAnsi="Arial" w:cs="Arial"/>
          <w:sz w:val="24"/>
          <w:szCs w:val="28"/>
        </w:rPr>
        <w:t xml:space="preserve"> by the Assistant Director for Inclusion Services and </w:t>
      </w:r>
      <w:r w:rsidR="00772365">
        <w:rPr>
          <w:rFonts w:ascii="Arial" w:hAnsi="Arial" w:cs="Arial"/>
          <w:sz w:val="24"/>
          <w:szCs w:val="28"/>
        </w:rPr>
        <w:t xml:space="preserve">cannot be put in place until this is </w:t>
      </w:r>
      <w:r w:rsidR="006B73D8">
        <w:rPr>
          <w:rFonts w:ascii="Arial" w:hAnsi="Arial" w:cs="Arial"/>
          <w:sz w:val="24"/>
          <w:szCs w:val="28"/>
        </w:rPr>
        <w:t>received</w:t>
      </w:r>
      <w:r w:rsidR="00772365">
        <w:rPr>
          <w:rFonts w:ascii="Arial" w:hAnsi="Arial" w:cs="Arial"/>
          <w:sz w:val="24"/>
          <w:szCs w:val="28"/>
        </w:rPr>
        <w:t>.</w:t>
      </w:r>
    </w:p>
    <w:p w14:paraId="56E6381A" w14:textId="23D707B6" w:rsidR="00647BD9" w:rsidRPr="00935993" w:rsidRDefault="004B5ABC" w:rsidP="0093599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</w:t>
      </w:r>
      <w:r w:rsidR="006B73D8">
        <w:rPr>
          <w:rFonts w:ascii="Arial" w:hAnsi="Arial" w:cs="Arial"/>
          <w:sz w:val="24"/>
          <w:szCs w:val="28"/>
        </w:rPr>
        <w:t xml:space="preserve">n emergency quorate panel can be called </w:t>
      </w:r>
      <w:r>
        <w:rPr>
          <w:rFonts w:ascii="Arial" w:hAnsi="Arial" w:cs="Arial"/>
          <w:sz w:val="24"/>
          <w:szCs w:val="28"/>
        </w:rPr>
        <w:t xml:space="preserve">if further agreement is required. </w:t>
      </w:r>
      <w:r w:rsidR="006B73D8">
        <w:rPr>
          <w:rFonts w:ascii="Arial" w:hAnsi="Arial" w:cs="Arial"/>
          <w:sz w:val="24"/>
          <w:szCs w:val="28"/>
        </w:rPr>
        <w:t xml:space="preserve"> </w:t>
      </w:r>
      <w:r w:rsidR="00772365">
        <w:rPr>
          <w:rFonts w:ascii="Arial" w:hAnsi="Arial" w:cs="Arial"/>
          <w:sz w:val="24"/>
          <w:szCs w:val="28"/>
        </w:rPr>
        <w:t xml:space="preserve"> </w:t>
      </w:r>
    </w:p>
    <w:p w14:paraId="153A4C66" w14:textId="77777777" w:rsidR="002A7B49" w:rsidRDefault="002A7B49" w:rsidP="00E0650C">
      <w:pPr>
        <w:jc w:val="both"/>
        <w:rPr>
          <w:rFonts w:ascii="Arial" w:hAnsi="Arial" w:cs="Arial"/>
          <w:sz w:val="24"/>
          <w:szCs w:val="28"/>
        </w:rPr>
      </w:pPr>
    </w:p>
    <w:sectPr w:rsidR="002A7B49" w:rsidSect="00764A7D">
      <w:headerReference w:type="default" r:id="rId10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93A7" w14:textId="77777777" w:rsidR="005D20EB" w:rsidRDefault="005D20EB" w:rsidP="00923B45">
      <w:pPr>
        <w:spacing w:after="0" w:line="240" w:lineRule="auto"/>
      </w:pPr>
      <w:r>
        <w:separator/>
      </w:r>
    </w:p>
  </w:endnote>
  <w:endnote w:type="continuationSeparator" w:id="0">
    <w:p w14:paraId="1D257E71" w14:textId="77777777" w:rsidR="005D20EB" w:rsidRDefault="005D20EB" w:rsidP="0092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2B49" w14:textId="77777777" w:rsidR="005D20EB" w:rsidRDefault="005D20EB" w:rsidP="00923B45">
      <w:pPr>
        <w:spacing w:after="0" w:line="240" w:lineRule="auto"/>
      </w:pPr>
      <w:r>
        <w:separator/>
      </w:r>
    </w:p>
  </w:footnote>
  <w:footnote w:type="continuationSeparator" w:id="0">
    <w:p w14:paraId="4939A303" w14:textId="77777777" w:rsidR="005D20EB" w:rsidRDefault="005D20EB" w:rsidP="0092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8235" w14:textId="0BD27CA0" w:rsidR="00923B45" w:rsidRDefault="004F6251" w:rsidP="004F6251">
    <w:pPr>
      <w:pStyle w:val="Header"/>
      <w:jc w:val="right"/>
    </w:pPr>
    <w:r w:rsidRPr="00203C8B">
      <w:rPr>
        <w:noProof/>
      </w:rPr>
      <w:drawing>
        <wp:anchor distT="0" distB="0" distL="114300" distR="114300" simplePos="0" relativeHeight="251658240" behindDoc="0" locked="0" layoutInCell="1" allowOverlap="1" wp14:anchorId="2503BB1A" wp14:editId="3FE0440A">
          <wp:simplePos x="0" y="0"/>
          <wp:positionH relativeFrom="column">
            <wp:posOffset>4165600</wp:posOffset>
          </wp:positionH>
          <wp:positionV relativeFrom="paragraph">
            <wp:posOffset>-74930</wp:posOffset>
          </wp:positionV>
          <wp:extent cx="2118995" cy="775335"/>
          <wp:effectExtent l="0" t="0" r="0" b="5715"/>
          <wp:wrapTopAndBottom/>
          <wp:docPr id="273733044" name="Picture 3" descr="A computer screen shot of a computer scree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6D5E2DB-04A5-49D1-817B-8D61F5C6C0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733044" name="Picture 3" descr="A computer screen shot of a computer screen&#10;&#10;AI-generated content may be incorrect.">
                    <a:extLst>
                      <a:ext uri="{FF2B5EF4-FFF2-40B4-BE49-F238E27FC236}">
                        <a16:creationId xmlns:a16="http://schemas.microsoft.com/office/drawing/2014/main" id="{76D5E2DB-04A5-49D1-817B-8D61F5C6C0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51" t="18065" r="70000" b="73118"/>
                  <a:stretch/>
                </pic:blipFill>
                <pic:spPr>
                  <a:xfrm>
                    <a:off x="0" y="0"/>
                    <a:ext cx="211899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51B"/>
    <w:multiLevelType w:val="hybridMultilevel"/>
    <w:tmpl w:val="F9920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6411"/>
    <w:multiLevelType w:val="hybridMultilevel"/>
    <w:tmpl w:val="4EF2F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634C"/>
    <w:multiLevelType w:val="hybridMultilevel"/>
    <w:tmpl w:val="28409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30167"/>
    <w:multiLevelType w:val="hybridMultilevel"/>
    <w:tmpl w:val="95E61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235C8"/>
    <w:multiLevelType w:val="hybridMultilevel"/>
    <w:tmpl w:val="D506F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945FA"/>
    <w:multiLevelType w:val="hybridMultilevel"/>
    <w:tmpl w:val="89DE9B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3920195">
    <w:abstractNumId w:val="3"/>
  </w:num>
  <w:num w:numId="2" w16cid:durableId="783042865">
    <w:abstractNumId w:val="1"/>
  </w:num>
  <w:num w:numId="3" w16cid:durableId="159778934">
    <w:abstractNumId w:val="5"/>
  </w:num>
  <w:num w:numId="4" w16cid:durableId="1623151985">
    <w:abstractNumId w:val="0"/>
  </w:num>
  <w:num w:numId="5" w16cid:durableId="1889762060">
    <w:abstractNumId w:val="4"/>
  </w:num>
  <w:num w:numId="6" w16cid:durableId="971324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B7"/>
    <w:rsid w:val="00043BE2"/>
    <w:rsid w:val="00045218"/>
    <w:rsid w:val="00060ECA"/>
    <w:rsid w:val="000C6399"/>
    <w:rsid w:val="000D62CA"/>
    <w:rsid w:val="00147ABF"/>
    <w:rsid w:val="00151B3B"/>
    <w:rsid w:val="0015420B"/>
    <w:rsid w:val="001621A6"/>
    <w:rsid w:val="00163422"/>
    <w:rsid w:val="0020670B"/>
    <w:rsid w:val="00207A2E"/>
    <w:rsid w:val="0022443F"/>
    <w:rsid w:val="0023697C"/>
    <w:rsid w:val="00247F6B"/>
    <w:rsid w:val="00251833"/>
    <w:rsid w:val="00266523"/>
    <w:rsid w:val="00273ABE"/>
    <w:rsid w:val="00275158"/>
    <w:rsid w:val="00281270"/>
    <w:rsid w:val="002864FD"/>
    <w:rsid w:val="0029261A"/>
    <w:rsid w:val="00297310"/>
    <w:rsid w:val="002A7B49"/>
    <w:rsid w:val="002B123A"/>
    <w:rsid w:val="002B3CAB"/>
    <w:rsid w:val="002B53C4"/>
    <w:rsid w:val="003051DF"/>
    <w:rsid w:val="00333735"/>
    <w:rsid w:val="00385386"/>
    <w:rsid w:val="00394CA9"/>
    <w:rsid w:val="003A1571"/>
    <w:rsid w:val="003A3817"/>
    <w:rsid w:val="003E68F9"/>
    <w:rsid w:val="004136A8"/>
    <w:rsid w:val="00414AF1"/>
    <w:rsid w:val="00434873"/>
    <w:rsid w:val="004702C1"/>
    <w:rsid w:val="00477F2C"/>
    <w:rsid w:val="00486F86"/>
    <w:rsid w:val="004B5ABC"/>
    <w:rsid w:val="004C3E98"/>
    <w:rsid w:val="004F6251"/>
    <w:rsid w:val="00527ED3"/>
    <w:rsid w:val="00530165"/>
    <w:rsid w:val="00534F04"/>
    <w:rsid w:val="005421E6"/>
    <w:rsid w:val="005501DD"/>
    <w:rsid w:val="00552B01"/>
    <w:rsid w:val="00557CF7"/>
    <w:rsid w:val="00571579"/>
    <w:rsid w:val="00586F37"/>
    <w:rsid w:val="005D20EB"/>
    <w:rsid w:val="005D3B41"/>
    <w:rsid w:val="005E2157"/>
    <w:rsid w:val="00636618"/>
    <w:rsid w:val="00647BD9"/>
    <w:rsid w:val="00660706"/>
    <w:rsid w:val="00664FC4"/>
    <w:rsid w:val="00683FE1"/>
    <w:rsid w:val="00692678"/>
    <w:rsid w:val="00692B6C"/>
    <w:rsid w:val="006B73D8"/>
    <w:rsid w:val="006C1FBA"/>
    <w:rsid w:val="006C7A17"/>
    <w:rsid w:val="006D4F32"/>
    <w:rsid w:val="007008F6"/>
    <w:rsid w:val="007311D9"/>
    <w:rsid w:val="00764A7D"/>
    <w:rsid w:val="00772365"/>
    <w:rsid w:val="007866C8"/>
    <w:rsid w:val="00855B5A"/>
    <w:rsid w:val="00865059"/>
    <w:rsid w:val="008736C5"/>
    <w:rsid w:val="00883C6D"/>
    <w:rsid w:val="008920BF"/>
    <w:rsid w:val="008A6361"/>
    <w:rsid w:val="008B0BB9"/>
    <w:rsid w:val="008D43C7"/>
    <w:rsid w:val="008E1868"/>
    <w:rsid w:val="00910577"/>
    <w:rsid w:val="0092343C"/>
    <w:rsid w:val="00923B45"/>
    <w:rsid w:val="00935993"/>
    <w:rsid w:val="0094084C"/>
    <w:rsid w:val="0096699B"/>
    <w:rsid w:val="009D2574"/>
    <w:rsid w:val="009D5CD1"/>
    <w:rsid w:val="00A326B2"/>
    <w:rsid w:val="00A73CE2"/>
    <w:rsid w:val="00AA4A7B"/>
    <w:rsid w:val="00AE1A27"/>
    <w:rsid w:val="00B2234C"/>
    <w:rsid w:val="00B269E6"/>
    <w:rsid w:val="00B57FBC"/>
    <w:rsid w:val="00B676B7"/>
    <w:rsid w:val="00B72185"/>
    <w:rsid w:val="00BB55A5"/>
    <w:rsid w:val="00BF528C"/>
    <w:rsid w:val="00C01151"/>
    <w:rsid w:val="00C12449"/>
    <w:rsid w:val="00C14F76"/>
    <w:rsid w:val="00C1733D"/>
    <w:rsid w:val="00C33C59"/>
    <w:rsid w:val="00C5691C"/>
    <w:rsid w:val="00C60456"/>
    <w:rsid w:val="00C909B2"/>
    <w:rsid w:val="00CD4832"/>
    <w:rsid w:val="00CE15F3"/>
    <w:rsid w:val="00D32EEE"/>
    <w:rsid w:val="00DA21C5"/>
    <w:rsid w:val="00DC0F4A"/>
    <w:rsid w:val="00DD747F"/>
    <w:rsid w:val="00DF0F98"/>
    <w:rsid w:val="00DF1EB7"/>
    <w:rsid w:val="00E0650C"/>
    <w:rsid w:val="00E1370C"/>
    <w:rsid w:val="00E139B6"/>
    <w:rsid w:val="00E253C8"/>
    <w:rsid w:val="00E75E88"/>
    <w:rsid w:val="00E965DA"/>
    <w:rsid w:val="00EA1101"/>
    <w:rsid w:val="00EB171E"/>
    <w:rsid w:val="00ED7D68"/>
    <w:rsid w:val="00F64630"/>
    <w:rsid w:val="00F911B6"/>
    <w:rsid w:val="00F9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D2306"/>
  <w15:chartTrackingRefBased/>
  <w15:docId w15:val="{DF30E869-A39B-4450-9FBD-624C3C6F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6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7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E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E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6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B45"/>
  </w:style>
  <w:style w:type="paragraph" w:styleId="Footer">
    <w:name w:val="footer"/>
    <w:basedOn w:val="Normal"/>
    <w:link w:val="FooterChar"/>
    <w:uiPriority w:val="99"/>
    <w:unhideWhenUsed/>
    <w:rsid w:val="00923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02F2B87374488A55EF44B4050068" ma:contentTypeVersion="13" ma:contentTypeDescription="Create a new document." ma:contentTypeScope="" ma:versionID="5879983aa93e233b936418c4eed29ceb">
  <xsd:schema xmlns:xsd="http://www.w3.org/2001/XMLSchema" xmlns:xs="http://www.w3.org/2001/XMLSchema" xmlns:p="http://schemas.microsoft.com/office/2006/metadata/properties" xmlns:ns2="af5b99a0-384b-4c22-b058-2fe9474bcaa2" xmlns:ns3="75304046-ffad-4f70-9f4b-bbc776f1b690" xmlns:ns4="b97f7709-dfb7-43a0-b42a-cd354627f020" targetNamespace="http://schemas.microsoft.com/office/2006/metadata/properties" ma:root="true" ma:fieldsID="c8194b666f90ac7372f66283febd30b6" ns2:_="" ns3:_="" ns4:_="">
    <xsd:import namespace="af5b99a0-384b-4c22-b058-2fe9474bcaa2"/>
    <xsd:import namespace="75304046-ffad-4f70-9f4b-bbc776f1b690"/>
    <xsd:import namespace="b97f7709-dfb7-43a0-b42a-cd354627f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99a0-384b-4c22-b058-2fe9474bc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b99a0-384b-4c22-b058-2fe9474bcaa2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1A174F1C-48D6-4027-B6A5-53EABA420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A62C9-1A1C-4934-B159-6660128B6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b99a0-384b-4c22-b058-2fe9474bcaa2"/>
    <ds:schemaRef ds:uri="75304046-ffad-4f70-9f4b-bbc776f1b690"/>
    <ds:schemaRef ds:uri="b97f7709-dfb7-43a0-b42a-cd354627f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0DF1A-31D0-45F7-AC87-AA7DF32D4027}">
  <ds:schemaRefs>
    <ds:schemaRef ds:uri="http://schemas.microsoft.com/office/2006/metadata/properties"/>
    <ds:schemaRef ds:uri="http://schemas.microsoft.com/office/infopath/2007/PartnerControls"/>
    <ds:schemaRef ds:uri="af5b99a0-384b-4c22-b058-2fe9474bcaa2"/>
    <ds:schemaRef ds:uri="75304046-ffad-4f70-9f4b-bbc776f1b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Mills</dc:creator>
  <cp:keywords/>
  <dc:description/>
  <cp:lastModifiedBy>Joy Settle</cp:lastModifiedBy>
  <cp:revision>80</cp:revision>
  <dcterms:created xsi:type="dcterms:W3CDTF">2025-04-10T10:37:00Z</dcterms:created>
  <dcterms:modified xsi:type="dcterms:W3CDTF">2025-04-24T08:50:00Z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0x0101003AAC02F2B87374488A55EF44B4050068</vt:lpwstr>
  </property>
</Properties>
</file>