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87B4" w14:textId="77777777" w:rsidR="00646C95" w:rsidRDefault="00646C95" w:rsidP="00A33E0A">
      <w:pPr>
        <w:jc w:val="both"/>
        <w:rPr>
          <w:b/>
          <w:bCs/>
        </w:rPr>
      </w:pPr>
    </w:p>
    <w:p w14:paraId="47625C64" w14:textId="77777777" w:rsidR="00F84195" w:rsidRDefault="00F84195" w:rsidP="00A33E0A">
      <w:pPr>
        <w:jc w:val="both"/>
        <w:rPr>
          <w:b/>
          <w:bCs/>
        </w:rPr>
      </w:pPr>
    </w:p>
    <w:p w14:paraId="624E51FC" w14:textId="77777777" w:rsidR="00F84195" w:rsidRDefault="00F84195" w:rsidP="00A33E0A">
      <w:pPr>
        <w:jc w:val="both"/>
        <w:rPr>
          <w:b/>
          <w:bCs/>
        </w:rPr>
      </w:pPr>
    </w:p>
    <w:p w14:paraId="7119FDFF" w14:textId="77777777" w:rsidR="00F84195" w:rsidRDefault="00F84195" w:rsidP="00A33E0A">
      <w:pPr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3716BB" w:rsidRPr="00F84195" w14:paraId="0282618E" w14:textId="77777777" w:rsidTr="003716B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23AEC32D" w14:textId="77777777" w:rsidR="003716BB" w:rsidRPr="009D08C1" w:rsidRDefault="003716BB" w:rsidP="003716BB">
            <w:pPr>
              <w:jc w:val="center"/>
              <w:rPr>
                <w:b/>
                <w:bCs/>
              </w:rPr>
            </w:pPr>
            <w:r w:rsidRPr="009D08C1">
              <w:rPr>
                <w:b/>
                <w:bCs/>
                <w:color w:val="FFFFFF" w:themeColor="background1"/>
              </w:rPr>
              <w:t>Document Control Sheet</w:t>
            </w:r>
          </w:p>
        </w:tc>
      </w:tr>
    </w:tbl>
    <w:p w14:paraId="5313F9DB" w14:textId="77777777" w:rsidR="00F84195" w:rsidRDefault="00F84195" w:rsidP="00A33E0A">
      <w:pPr>
        <w:jc w:val="both"/>
        <w:rPr>
          <w:b/>
          <w:bCs/>
        </w:rPr>
      </w:pPr>
    </w:p>
    <w:p w14:paraId="05C63622" w14:textId="77777777" w:rsidR="00F84195" w:rsidRDefault="00F84195" w:rsidP="00A33E0A">
      <w:pPr>
        <w:jc w:val="both"/>
        <w:rPr>
          <w:b/>
          <w:bCs/>
        </w:rPr>
      </w:pPr>
    </w:p>
    <w:p w14:paraId="3AE536FA" w14:textId="77777777" w:rsidR="00F84195" w:rsidRDefault="00F84195" w:rsidP="00A33E0A">
      <w:pPr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</w:tblGrid>
      <w:tr w:rsidR="003716BB" w:rsidRPr="00F84195" w14:paraId="123A19FA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2BAA8C04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Document Reference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415B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>SCC 132</w:t>
            </w:r>
          </w:p>
        </w:tc>
      </w:tr>
      <w:tr w:rsidR="003716BB" w:rsidRPr="00F84195" w14:paraId="3969BD4C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5A033E19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Document Title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1A5A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>ECT Induction Policy</w:t>
            </w:r>
          </w:p>
        </w:tc>
      </w:tr>
      <w:tr w:rsidR="003716BB" w:rsidRPr="00F84195" w14:paraId="601D2FDC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288FD4D8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9D8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>Policy</w:t>
            </w:r>
          </w:p>
        </w:tc>
      </w:tr>
      <w:tr w:rsidR="003716BB" w:rsidRPr="00F84195" w14:paraId="771B5674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5AC1F432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Version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03DE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>V3.0</w:t>
            </w:r>
          </w:p>
        </w:tc>
      </w:tr>
      <w:tr w:rsidR="003716BB" w:rsidRPr="00F84195" w14:paraId="08B58814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6ED0952D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Version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D50F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>
              <w:rPr>
                <w:color w:val="44546A" w:themeColor="text2"/>
              </w:rPr>
              <w:t>June-2024</w:t>
            </w:r>
          </w:p>
        </w:tc>
      </w:tr>
      <w:tr w:rsidR="003716BB" w:rsidRPr="00F84195" w14:paraId="6B1A145A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373222C2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Last Review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4EDC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>
              <w:rPr>
                <w:color w:val="44546A" w:themeColor="text2"/>
              </w:rPr>
              <w:t>June-2024</w:t>
            </w:r>
          </w:p>
        </w:tc>
      </w:tr>
      <w:tr w:rsidR="003716BB" w:rsidRPr="00F84195" w14:paraId="704715C3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628BB701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Next 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9A60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>
              <w:rPr>
                <w:color w:val="44546A" w:themeColor="text2"/>
              </w:rPr>
              <w:t>June-2026</w:t>
            </w:r>
          </w:p>
        </w:tc>
      </w:tr>
      <w:tr w:rsidR="003716BB" w:rsidRPr="00F84195" w14:paraId="6EA3A999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721ABF37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Reviewed 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980C" w14:textId="77777777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>Tolvyde Cebanauskaite</w:t>
            </w:r>
          </w:p>
        </w:tc>
      </w:tr>
      <w:tr w:rsidR="003716BB" w:rsidRPr="00F84195" w14:paraId="137CA5E7" w14:textId="77777777" w:rsidTr="003716B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7AE36FD" w14:textId="77777777" w:rsidR="003716BB" w:rsidRPr="009D08C1" w:rsidRDefault="003716BB" w:rsidP="003716BB">
            <w:pPr>
              <w:jc w:val="center"/>
              <w:rPr>
                <w:b/>
                <w:bCs/>
                <w:color w:val="FFFFFF" w:themeColor="background1"/>
              </w:rPr>
            </w:pPr>
            <w:r w:rsidRPr="009D08C1">
              <w:rPr>
                <w:b/>
                <w:bCs/>
                <w:color w:val="FFFFFF" w:themeColor="background1"/>
              </w:rPr>
              <w:t>Document History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4AAD" w14:textId="77777777" w:rsidR="003716BB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 xml:space="preserve">V1-Jan-20, </w:t>
            </w:r>
          </w:p>
          <w:p w14:paraId="01BD7C42" w14:textId="77777777" w:rsidR="003716BB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 xml:space="preserve">V2- Oct-21, </w:t>
            </w:r>
          </w:p>
          <w:p w14:paraId="5D54A64C" w14:textId="3558CDED" w:rsidR="003716BB" w:rsidRPr="009D08C1" w:rsidRDefault="003716BB" w:rsidP="003716BB">
            <w:pPr>
              <w:jc w:val="center"/>
              <w:rPr>
                <w:color w:val="44546A" w:themeColor="text2"/>
              </w:rPr>
            </w:pPr>
            <w:r w:rsidRPr="009D08C1">
              <w:rPr>
                <w:color w:val="44546A" w:themeColor="text2"/>
              </w:rPr>
              <w:t>V3-</w:t>
            </w:r>
            <w:r w:rsidR="006D49E0">
              <w:rPr>
                <w:color w:val="44546A" w:themeColor="text2"/>
              </w:rPr>
              <w:t>Jun</w:t>
            </w:r>
            <w:r w:rsidRPr="009D08C1">
              <w:rPr>
                <w:color w:val="44546A" w:themeColor="text2"/>
              </w:rPr>
              <w:t>-23</w:t>
            </w:r>
          </w:p>
        </w:tc>
      </w:tr>
    </w:tbl>
    <w:p w14:paraId="1E710F11" w14:textId="77777777" w:rsidR="00F84195" w:rsidRPr="00F84195" w:rsidRDefault="00F84195" w:rsidP="00F84195">
      <w:pPr>
        <w:jc w:val="both"/>
        <w:rPr>
          <w:b/>
          <w:bCs/>
        </w:rPr>
      </w:pPr>
    </w:p>
    <w:p w14:paraId="725BD39E" w14:textId="77777777" w:rsidR="00F84195" w:rsidRPr="00F84195" w:rsidRDefault="00F84195" w:rsidP="00F84195">
      <w:pPr>
        <w:jc w:val="both"/>
        <w:rPr>
          <w:b/>
          <w:bCs/>
        </w:rPr>
      </w:pPr>
    </w:p>
    <w:p w14:paraId="47D24970" w14:textId="77777777" w:rsidR="00F84195" w:rsidRPr="00F84195" w:rsidRDefault="00F84195" w:rsidP="00F84195">
      <w:pPr>
        <w:jc w:val="both"/>
        <w:rPr>
          <w:b/>
          <w:bCs/>
        </w:rPr>
      </w:pPr>
    </w:p>
    <w:p w14:paraId="69581D09" w14:textId="77777777" w:rsidR="00F84195" w:rsidRPr="00F84195" w:rsidRDefault="00F84195" w:rsidP="00F84195">
      <w:pPr>
        <w:jc w:val="both"/>
        <w:rPr>
          <w:b/>
          <w:bCs/>
        </w:rPr>
      </w:pPr>
    </w:p>
    <w:p w14:paraId="5E509CEC" w14:textId="77777777" w:rsidR="00F84195" w:rsidRPr="00F84195" w:rsidRDefault="00F84195" w:rsidP="009579B7">
      <w:pPr>
        <w:jc w:val="center"/>
        <w:rPr>
          <w:lang w:val="en-US"/>
        </w:rPr>
      </w:pPr>
    </w:p>
    <w:p w14:paraId="55A0FD33" w14:textId="77777777" w:rsidR="00F84195" w:rsidRPr="00F84195" w:rsidRDefault="00F84195" w:rsidP="009579B7">
      <w:pPr>
        <w:jc w:val="center"/>
      </w:pPr>
    </w:p>
    <w:p w14:paraId="22ED898D" w14:textId="77777777" w:rsidR="00F84195" w:rsidRPr="00F84195" w:rsidRDefault="00F84195" w:rsidP="00F84195">
      <w:pPr>
        <w:jc w:val="both"/>
        <w:rPr>
          <w:b/>
          <w:bCs/>
          <w:lang w:val="en-US"/>
        </w:rPr>
      </w:pPr>
    </w:p>
    <w:p w14:paraId="6BE3D50C" w14:textId="39032D63" w:rsidR="00F84195" w:rsidRDefault="00F84195" w:rsidP="00A33E0A">
      <w:pPr>
        <w:jc w:val="both"/>
        <w:rPr>
          <w:b/>
          <w:bCs/>
        </w:rPr>
      </w:pPr>
      <w:r w:rsidRPr="00F84195">
        <w:rPr>
          <w:b/>
          <w:bCs/>
        </w:rPr>
        <w:t xml:space="preserve"> </w:t>
      </w:r>
      <w:r w:rsidRPr="00F84195">
        <w:rPr>
          <w:b/>
          <w:bCs/>
        </w:rPr>
        <w:br w:type="page"/>
      </w:r>
    </w:p>
    <w:p w14:paraId="3D851860" w14:textId="523F927E" w:rsidR="00646C95" w:rsidRDefault="00646C95" w:rsidP="00A33E0A">
      <w:pPr>
        <w:jc w:val="both"/>
        <w:rPr>
          <w:b/>
          <w:bCs/>
        </w:rPr>
      </w:pPr>
      <w:r>
        <w:rPr>
          <w:b/>
          <w:bCs/>
        </w:rPr>
        <w:lastRenderedPageBreak/>
        <w:t>Introduction</w:t>
      </w:r>
    </w:p>
    <w:p w14:paraId="523D1D13" w14:textId="298DC073" w:rsidR="00EF42C1" w:rsidRDefault="000144F6" w:rsidP="00A33E0A">
      <w:pPr>
        <w:jc w:val="both"/>
      </w:pPr>
      <w:r>
        <w:t>I</w:t>
      </w:r>
      <w:r w:rsidR="000467AE">
        <w:t xml:space="preserve">t </w:t>
      </w:r>
      <w:r w:rsidR="006B0327">
        <w:t>is</w:t>
      </w:r>
      <w:r w:rsidR="000467AE">
        <w:t xml:space="preserve"> statutory to have</w:t>
      </w:r>
      <w:r w:rsidR="00646C95">
        <w:t xml:space="preserve"> </w:t>
      </w:r>
      <w:r w:rsidR="00F50AA3">
        <w:t>a policy</w:t>
      </w:r>
      <w:r w:rsidR="000467AE">
        <w:t xml:space="preserve"> for E</w:t>
      </w:r>
      <w:r w:rsidR="00646C95">
        <w:t>arly Career Teachers (E</w:t>
      </w:r>
      <w:r w:rsidR="000467AE">
        <w:t>CTs</w:t>
      </w:r>
      <w:r w:rsidR="00646C95">
        <w:t>)</w:t>
      </w:r>
      <w:r w:rsidR="000467AE">
        <w:t xml:space="preserve"> in schools and </w:t>
      </w:r>
      <w:r w:rsidR="00646C95">
        <w:t xml:space="preserve">education </w:t>
      </w:r>
      <w:r w:rsidR="000467AE">
        <w:t>settings.</w:t>
      </w:r>
      <w:r w:rsidR="00646C95">
        <w:t xml:space="preserve">  The</w:t>
      </w:r>
      <w:r w:rsidR="003607AA">
        <w:t xml:space="preserve"> Department </w:t>
      </w:r>
      <w:r w:rsidR="00CE1506">
        <w:t xml:space="preserve">for Education (DfE) </w:t>
      </w:r>
      <w:r w:rsidR="00CE1506" w:rsidRPr="00CE1506">
        <w:t>funded training based on the early career framework (ECF) that is now part of statutory induction.</w:t>
      </w:r>
    </w:p>
    <w:p w14:paraId="0D913C92" w14:textId="77777777" w:rsidR="006A6CA0" w:rsidRDefault="006A6CA0" w:rsidP="00A33E0A">
      <w:pPr>
        <w:jc w:val="both"/>
      </w:pPr>
    </w:p>
    <w:p w14:paraId="17CD6F47" w14:textId="77777777" w:rsidR="006A6CA0" w:rsidRDefault="00A31DD3" w:rsidP="00A33E0A">
      <w:pPr>
        <w:jc w:val="both"/>
      </w:pPr>
      <w:r>
        <w:t>Th</w:t>
      </w:r>
      <w:r w:rsidR="003305A7">
        <w:t>e DfE</w:t>
      </w:r>
      <w:r>
        <w:t xml:space="preserve"> </w:t>
      </w:r>
      <w:r w:rsidR="00426480">
        <w:t>specifies</w:t>
      </w:r>
      <w:r w:rsidR="003305A7">
        <w:t xml:space="preserve"> that the </w:t>
      </w:r>
      <w:r>
        <w:t xml:space="preserve">following schools need to have a policy for </w:t>
      </w:r>
      <w:r w:rsidR="00360698">
        <w:t>EC</w:t>
      </w:r>
      <w:r>
        <w:t>Ts:</w:t>
      </w:r>
    </w:p>
    <w:p w14:paraId="3F32C026" w14:textId="7CA0AE96" w:rsidR="00A31DD3" w:rsidRDefault="00F647D4" w:rsidP="00A33E0A">
      <w:pPr>
        <w:pStyle w:val="ListParagraph"/>
        <w:numPr>
          <w:ilvl w:val="0"/>
          <w:numId w:val="1"/>
        </w:numPr>
        <w:jc w:val="both"/>
      </w:pPr>
      <w:r>
        <w:t xml:space="preserve">Local </w:t>
      </w:r>
      <w:r w:rsidR="00646C95">
        <w:t>A</w:t>
      </w:r>
      <w:r>
        <w:t>uthority</w:t>
      </w:r>
      <w:r w:rsidR="00A31DD3">
        <w:t xml:space="preserve"> maintained schools, including maintained special schools and nursery schools</w:t>
      </w:r>
    </w:p>
    <w:p w14:paraId="190244FA" w14:textId="3B56A468" w:rsidR="00A31DD3" w:rsidRDefault="00646C95" w:rsidP="00A33E0A">
      <w:pPr>
        <w:pStyle w:val="ListParagraph"/>
        <w:numPr>
          <w:ilvl w:val="0"/>
          <w:numId w:val="1"/>
        </w:numPr>
        <w:jc w:val="both"/>
      </w:pPr>
      <w:r>
        <w:t>A</w:t>
      </w:r>
      <w:r w:rsidR="00A31DD3">
        <w:t>cademies</w:t>
      </w:r>
    </w:p>
    <w:p w14:paraId="071CF621" w14:textId="05EE03A0" w:rsidR="00A31DD3" w:rsidRDefault="00646C95" w:rsidP="00A33E0A">
      <w:pPr>
        <w:pStyle w:val="ListParagraph"/>
        <w:numPr>
          <w:ilvl w:val="0"/>
          <w:numId w:val="1"/>
        </w:numPr>
        <w:jc w:val="both"/>
      </w:pPr>
      <w:r>
        <w:t>F</w:t>
      </w:r>
      <w:r w:rsidR="00A31DD3">
        <w:t>ree schools, including university technical colleges and studio schools</w:t>
      </w:r>
    </w:p>
    <w:p w14:paraId="7D1AF227" w14:textId="170DBC70" w:rsidR="00A31DD3" w:rsidRDefault="00646C95" w:rsidP="00A33E0A">
      <w:pPr>
        <w:pStyle w:val="ListParagraph"/>
        <w:numPr>
          <w:ilvl w:val="0"/>
          <w:numId w:val="1"/>
        </w:numPr>
        <w:jc w:val="both"/>
      </w:pPr>
      <w:r>
        <w:t>P</w:t>
      </w:r>
      <w:r w:rsidR="00A31DD3">
        <w:t>upil referral units (PRUs)</w:t>
      </w:r>
    </w:p>
    <w:p w14:paraId="0DC8BBC8" w14:textId="0502C7B8" w:rsidR="00A31DD3" w:rsidRDefault="00646C95" w:rsidP="00A33E0A">
      <w:pPr>
        <w:pStyle w:val="ListParagraph"/>
        <w:numPr>
          <w:ilvl w:val="0"/>
          <w:numId w:val="1"/>
        </w:numPr>
        <w:jc w:val="both"/>
      </w:pPr>
      <w:r>
        <w:t>I</w:t>
      </w:r>
      <w:r w:rsidR="00A31DD3">
        <w:t>ndependent schools, not state funded</w:t>
      </w:r>
    </w:p>
    <w:p w14:paraId="68D893A3" w14:textId="56B485B4" w:rsidR="00A31DD3" w:rsidRDefault="00646C95" w:rsidP="00A33E0A">
      <w:pPr>
        <w:pStyle w:val="ListParagraph"/>
        <w:numPr>
          <w:ilvl w:val="0"/>
          <w:numId w:val="1"/>
        </w:numPr>
        <w:jc w:val="both"/>
      </w:pPr>
      <w:r>
        <w:t>S</w:t>
      </w:r>
      <w:r w:rsidR="00A31DD3">
        <w:t>ixth-form colleges</w:t>
      </w:r>
    </w:p>
    <w:p w14:paraId="57A4C5F4" w14:textId="667A3C81" w:rsidR="00A31DD3" w:rsidRDefault="00646C95" w:rsidP="00A33E0A">
      <w:pPr>
        <w:pStyle w:val="ListParagraph"/>
        <w:numPr>
          <w:ilvl w:val="0"/>
          <w:numId w:val="1"/>
        </w:numPr>
        <w:jc w:val="both"/>
      </w:pPr>
      <w:r>
        <w:t>F</w:t>
      </w:r>
      <w:r w:rsidR="00A31DD3">
        <w:t>urther education institutions</w:t>
      </w:r>
    </w:p>
    <w:p w14:paraId="674B1780" w14:textId="77777777" w:rsidR="00A31DD3" w:rsidRDefault="00A31DD3" w:rsidP="00A33E0A">
      <w:pPr>
        <w:jc w:val="both"/>
      </w:pPr>
    </w:p>
    <w:p w14:paraId="46D17EFD" w14:textId="29D00ED6" w:rsidR="00A31DD3" w:rsidRDefault="003D1E2E" w:rsidP="00A33E0A">
      <w:pPr>
        <w:jc w:val="both"/>
      </w:pPr>
      <w:r>
        <w:t>G</w:t>
      </w:r>
      <w:r w:rsidR="00A31DD3">
        <w:t xml:space="preserve">overnors </w:t>
      </w:r>
      <w:r w:rsidR="00F647D4">
        <w:t xml:space="preserve">need to </w:t>
      </w:r>
      <w:r w:rsidR="00DB01E7">
        <w:t>approve th</w:t>
      </w:r>
      <w:r w:rsidR="00E62E1C">
        <w:t xml:space="preserve">is </w:t>
      </w:r>
      <w:r w:rsidR="00DB01E7">
        <w:t>policy</w:t>
      </w:r>
      <w:r w:rsidR="00E62E1C">
        <w:t xml:space="preserve"> which should be </w:t>
      </w:r>
      <w:r w:rsidR="00F50AA3">
        <w:t>reviewed annually</w:t>
      </w:r>
      <w:r w:rsidR="00E62E1C">
        <w:t>.</w:t>
      </w:r>
      <w:r w:rsidR="00364B3B">
        <w:t xml:space="preserve"> </w:t>
      </w:r>
    </w:p>
    <w:p w14:paraId="6E01828E" w14:textId="77777777" w:rsidR="00AC1CAC" w:rsidRDefault="00AC1CAC" w:rsidP="00A33E0A">
      <w:pPr>
        <w:jc w:val="both"/>
      </w:pPr>
    </w:p>
    <w:p w14:paraId="4AFA68D6" w14:textId="7E63AD47" w:rsidR="00C70DBA" w:rsidRDefault="00E62E1C" w:rsidP="00A33E0A">
      <w:pPr>
        <w:jc w:val="both"/>
      </w:pPr>
      <w:r>
        <w:t>For LA maintained schools, t</w:t>
      </w:r>
      <w:r w:rsidR="00875F96">
        <w:t xml:space="preserve">he </w:t>
      </w:r>
      <w:r w:rsidR="00F738F8">
        <w:t xml:space="preserve">governing body </w:t>
      </w:r>
      <w:r w:rsidR="00085AB2">
        <w:t>is</w:t>
      </w:r>
      <w:r w:rsidR="00AC1CAC">
        <w:t xml:space="preserve"> </w:t>
      </w:r>
      <w:r w:rsidR="00F53B7A">
        <w:t>responsible</w:t>
      </w:r>
      <w:r w:rsidR="00893E6E">
        <w:t xml:space="preserve"> </w:t>
      </w:r>
      <w:r w:rsidR="00085AB2">
        <w:t>for</w:t>
      </w:r>
      <w:r w:rsidR="00F738F8">
        <w:t xml:space="preserve"> ensur</w:t>
      </w:r>
      <w:r w:rsidR="00085AB2">
        <w:t>ing</w:t>
      </w:r>
      <w:r w:rsidR="00F738F8">
        <w:t xml:space="preserve"> </w:t>
      </w:r>
      <w:r w:rsidR="005748CB">
        <w:t>the school is compliant</w:t>
      </w:r>
      <w:r w:rsidR="00F738F8">
        <w:t xml:space="preserve"> with </w:t>
      </w:r>
      <w:r w:rsidR="00134201">
        <w:t xml:space="preserve">the </w:t>
      </w:r>
      <w:r w:rsidR="005856A3">
        <w:t>statutory guidance</w:t>
      </w:r>
      <w:r w:rsidR="00A0662C">
        <w:t xml:space="preserve"> </w:t>
      </w:r>
      <w:r>
        <w:t xml:space="preserve">- </w:t>
      </w:r>
      <w:r w:rsidR="00A0662C" w:rsidRPr="00F53B7A">
        <w:rPr>
          <w:i/>
          <w:iCs/>
        </w:rPr>
        <w:t xml:space="preserve">Induction for </w:t>
      </w:r>
      <w:r w:rsidR="00940EFB">
        <w:rPr>
          <w:i/>
          <w:iCs/>
        </w:rPr>
        <w:t>early</w:t>
      </w:r>
      <w:r w:rsidR="002D50F0">
        <w:rPr>
          <w:i/>
          <w:iCs/>
        </w:rPr>
        <w:t xml:space="preserve"> career</w:t>
      </w:r>
      <w:r w:rsidR="00A0662C" w:rsidRPr="00F53B7A">
        <w:rPr>
          <w:i/>
          <w:iCs/>
        </w:rPr>
        <w:t xml:space="preserve"> teachers (England) Statutory guidance for appropriate bod</w:t>
      </w:r>
      <w:r w:rsidR="00F64FDB" w:rsidRPr="00F53B7A">
        <w:rPr>
          <w:i/>
          <w:iCs/>
        </w:rPr>
        <w:t>ies, headteachers, school staff and governing bodies</w:t>
      </w:r>
      <w:r w:rsidR="004168F1">
        <w:rPr>
          <w:i/>
          <w:iCs/>
        </w:rPr>
        <w:t xml:space="preserve"> Revised</w:t>
      </w:r>
      <w:r w:rsidR="00F64FDB" w:rsidRPr="00F53B7A">
        <w:rPr>
          <w:i/>
          <w:iCs/>
        </w:rPr>
        <w:t xml:space="preserve"> </w:t>
      </w:r>
      <w:r w:rsidR="002D50F0">
        <w:rPr>
          <w:i/>
          <w:iCs/>
        </w:rPr>
        <w:t>March</w:t>
      </w:r>
      <w:r w:rsidR="00F64FDB" w:rsidRPr="00F53B7A">
        <w:rPr>
          <w:i/>
          <w:iCs/>
        </w:rPr>
        <w:t xml:space="preserve"> 20</w:t>
      </w:r>
      <w:r w:rsidR="002D50F0">
        <w:rPr>
          <w:i/>
          <w:iCs/>
        </w:rPr>
        <w:t>21</w:t>
      </w:r>
      <w:r w:rsidR="002C7FBF">
        <w:rPr>
          <w:i/>
          <w:iCs/>
        </w:rPr>
        <w:t xml:space="preserve"> to come into force on 1 September 2021</w:t>
      </w:r>
      <w:r w:rsidR="001815DC">
        <w:rPr>
          <w:rStyle w:val="FootnoteReference"/>
        </w:rPr>
        <w:footnoteReference w:id="1"/>
      </w:r>
      <w:r w:rsidR="00506EDA">
        <w:t>.</w:t>
      </w:r>
    </w:p>
    <w:p w14:paraId="73A03E92" w14:textId="77777777" w:rsidR="009D08C1" w:rsidRDefault="009D08C1" w:rsidP="00A33E0A">
      <w:pPr>
        <w:jc w:val="both"/>
      </w:pPr>
    </w:p>
    <w:p w14:paraId="7C7A989F" w14:textId="77777777" w:rsidR="005864BD" w:rsidRDefault="005864BD" w:rsidP="00A33E0A">
      <w:pPr>
        <w:jc w:val="both"/>
        <w:rPr>
          <w:b/>
          <w:bCs/>
        </w:rPr>
      </w:pPr>
      <w:r>
        <w:rPr>
          <w:b/>
          <w:bCs/>
        </w:rPr>
        <w:t>Rationale</w:t>
      </w:r>
    </w:p>
    <w:p w14:paraId="063E14CF" w14:textId="77777777" w:rsidR="007F01FD" w:rsidRDefault="008E486E" w:rsidP="00A33E0A">
      <w:pPr>
        <w:jc w:val="both"/>
      </w:pPr>
      <w:r>
        <w:t>Q</w:t>
      </w:r>
      <w:r w:rsidR="00203508">
        <w:t>ual</w:t>
      </w:r>
      <w:r w:rsidR="00BD5843">
        <w:t>ified teachers</w:t>
      </w:r>
      <w:r w:rsidR="00EF4573">
        <w:t xml:space="preserve"> employed in a relevant school</w:t>
      </w:r>
      <w:r w:rsidR="00105D93">
        <w:rPr>
          <w:rStyle w:val="FootnoteReference"/>
        </w:rPr>
        <w:footnoteReference w:id="2"/>
      </w:r>
      <w:r w:rsidR="00550C1A">
        <w:t xml:space="preserve"> </w:t>
      </w:r>
      <w:r w:rsidR="00990ECD">
        <w:t xml:space="preserve">must satisfactorily complete </w:t>
      </w:r>
      <w:r w:rsidR="00636572">
        <w:t>their statutor</w:t>
      </w:r>
      <w:r w:rsidR="00DB78C4">
        <w:t>y induction period</w:t>
      </w:r>
      <w:r w:rsidR="00CC3A5F">
        <w:t xml:space="preserve"> to gain their full professional </w:t>
      </w:r>
      <w:r w:rsidR="006F7097">
        <w:t>qualification</w:t>
      </w:r>
      <w:r w:rsidR="009D1935">
        <w:t>.</w:t>
      </w:r>
      <w:r w:rsidR="001E59EA">
        <w:t xml:space="preserve"> </w:t>
      </w:r>
      <w:r w:rsidR="00165EE2">
        <w:t>Statutory induction</w:t>
      </w:r>
      <w:r w:rsidR="00841264">
        <w:t xml:space="preserve"> is not a legal requirement </w:t>
      </w:r>
      <w:r w:rsidR="00C92B9B">
        <w:t>to teach in the FE</w:t>
      </w:r>
      <w:r w:rsidR="00AD7E30">
        <w:t xml:space="preserve"> or independent sectors, academies, free schools</w:t>
      </w:r>
      <w:r w:rsidR="008203CD">
        <w:t xml:space="preserve"> and British Schools Overseas</w:t>
      </w:r>
      <w:r w:rsidR="00A76238">
        <w:t xml:space="preserve">. </w:t>
      </w:r>
      <w:r w:rsidR="0090293B">
        <w:t>I</w:t>
      </w:r>
      <w:r w:rsidR="00D34245">
        <w:t xml:space="preserve">f an </w:t>
      </w:r>
      <w:r w:rsidR="00353C0A">
        <w:t>ECT</w:t>
      </w:r>
      <w:r w:rsidR="00D34245">
        <w:t xml:space="preserve"> is </w:t>
      </w:r>
      <w:r w:rsidR="007308C5">
        <w:t>undertaking</w:t>
      </w:r>
      <w:r w:rsidR="00EA2519">
        <w:t xml:space="preserve"> statutory </w:t>
      </w:r>
      <w:r w:rsidR="005436C3">
        <w:t xml:space="preserve">induction in one of these </w:t>
      </w:r>
      <w:r w:rsidR="001378D5">
        <w:t>institutions</w:t>
      </w:r>
      <w:r w:rsidR="005436C3">
        <w:t xml:space="preserve"> </w:t>
      </w:r>
      <w:r w:rsidR="00D44D14">
        <w:t>the</w:t>
      </w:r>
      <w:r w:rsidR="0098488B">
        <w:t xml:space="preserve"> statutory guidance </w:t>
      </w:r>
      <w:r w:rsidR="003E380F">
        <w:t xml:space="preserve">must </w:t>
      </w:r>
      <w:r w:rsidR="00EF062C">
        <w:t xml:space="preserve">be </w:t>
      </w:r>
      <w:r w:rsidR="003E380F">
        <w:t>follow</w:t>
      </w:r>
      <w:r w:rsidR="00EF062C">
        <w:t>ed</w:t>
      </w:r>
      <w:r w:rsidR="003E380F">
        <w:t>.</w:t>
      </w:r>
      <w:r w:rsidR="00D44D14">
        <w:t xml:space="preserve"> </w:t>
      </w:r>
    </w:p>
    <w:p w14:paraId="16B10538" w14:textId="77777777" w:rsidR="008B091E" w:rsidRDefault="008B091E" w:rsidP="00A33E0A">
      <w:pPr>
        <w:jc w:val="both"/>
      </w:pPr>
    </w:p>
    <w:p w14:paraId="2021FBC7" w14:textId="0C5D1440" w:rsidR="00E07432" w:rsidRDefault="00EB0F80" w:rsidP="00A33E0A">
      <w:pPr>
        <w:jc w:val="both"/>
      </w:pPr>
      <w:r>
        <w:t xml:space="preserve">The statutory induction period </w:t>
      </w:r>
      <w:r w:rsidR="00B86C78">
        <w:t xml:space="preserve">is </w:t>
      </w:r>
      <w:r w:rsidR="00952C6B">
        <w:t xml:space="preserve">the bridge between initial teacher training and </w:t>
      </w:r>
      <w:r w:rsidR="00436284">
        <w:t>a career in teaching</w:t>
      </w:r>
      <w:r w:rsidR="005416DC">
        <w:t xml:space="preserve">. </w:t>
      </w:r>
      <w:r w:rsidR="00975E32">
        <w:t>Fundamentally</w:t>
      </w:r>
      <w:r w:rsidR="001F7A5B">
        <w:t xml:space="preserve">, </w:t>
      </w:r>
      <w:r w:rsidR="00E62E1C">
        <w:t xml:space="preserve">the </w:t>
      </w:r>
      <w:r w:rsidR="001F7A5B">
        <w:t xml:space="preserve">statutory induction </w:t>
      </w:r>
      <w:r w:rsidR="00984F2B">
        <w:t>pivots around</w:t>
      </w:r>
      <w:r w:rsidR="007939DE">
        <w:t xml:space="preserve"> a </w:t>
      </w:r>
      <w:r w:rsidR="00363A78">
        <w:t xml:space="preserve">pre-planned </w:t>
      </w:r>
      <w:r w:rsidR="00134AD3">
        <w:t>programme</w:t>
      </w:r>
      <w:r w:rsidR="00856D49">
        <w:t xml:space="preserve"> of </w:t>
      </w:r>
      <w:r w:rsidR="00A010D3">
        <w:t>development</w:t>
      </w:r>
      <w:r w:rsidR="004126F2">
        <w:t xml:space="preserve">, </w:t>
      </w:r>
      <w:r w:rsidR="00F419E3">
        <w:t>support,</w:t>
      </w:r>
      <w:r w:rsidR="00BD21C5">
        <w:t xml:space="preserve"> and </w:t>
      </w:r>
      <w:r w:rsidR="004126F2">
        <w:t>professional dialogue</w:t>
      </w:r>
      <w:r w:rsidR="00682273">
        <w:t>,</w:t>
      </w:r>
      <w:r w:rsidR="00A82171">
        <w:t xml:space="preserve"> including the ECF</w:t>
      </w:r>
      <w:r w:rsidR="005476BE">
        <w:t>,</w:t>
      </w:r>
      <w:r w:rsidR="00326D4E">
        <w:t xml:space="preserve"> </w:t>
      </w:r>
      <w:r w:rsidR="005916E7">
        <w:t>alongside</w:t>
      </w:r>
      <w:r w:rsidR="00326D4E">
        <w:t xml:space="preserve"> monitoring and assessment </w:t>
      </w:r>
      <w:r w:rsidR="00B32FEB">
        <w:t>against the Teachers’ Standards.</w:t>
      </w:r>
      <w:r w:rsidR="00DB4A73">
        <w:t xml:space="preserve"> </w:t>
      </w:r>
    </w:p>
    <w:p w14:paraId="52C4D13E" w14:textId="77777777" w:rsidR="00E07432" w:rsidRDefault="00E07432" w:rsidP="00A33E0A">
      <w:pPr>
        <w:jc w:val="both"/>
      </w:pPr>
    </w:p>
    <w:p w14:paraId="639C0A18" w14:textId="5F124B96" w:rsidR="00E07432" w:rsidRPr="00E07432" w:rsidRDefault="00E07432" w:rsidP="00A33E0A">
      <w:pPr>
        <w:jc w:val="both"/>
        <w:rPr>
          <w:b/>
          <w:bCs/>
        </w:rPr>
      </w:pPr>
      <w:r w:rsidRPr="00E07432">
        <w:rPr>
          <w:b/>
          <w:bCs/>
        </w:rPr>
        <w:t>Early Career Framework</w:t>
      </w:r>
      <w:r w:rsidR="00E62E1C">
        <w:rPr>
          <w:b/>
          <w:bCs/>
        </w:rPr>
        <w:t xml:space="preserve"> (ECF)</w:t>
      </w:r>
    </w:p>
    <w:p w14:paraId="743C1B00" w14:textId="79CDD9A8" w:rsidR="005069F2" w:rsidRDefault="00E62E1C" w:rsidP="00A33E0A">
      <w:pPr>
        <w:jc w:val="both"/>
      </w:pPr>
      <w:r>
        <w:t>I</w:t>
      </w:r>
      <w:r w:rsidR="00C54C2A">
        <w:t xml:space="preserve">t is </w:t>
      </w:r>
      <w:r w:rsidR="00290DA3">
        <w:t xml:space="preserve">incumbent on all headteachers/principals to ensure that </w:t>
      </w:r>
      <w:r w:rsidR="00360698">
        <w:t xml:space="preserve">all </w:t>
      </w:r>
      <w:r w:rsidR="00290DA3">
        <w:t xml:space="preserve">ECTs </w:t>
      </w:r>
      <w:r w:rsidR="004170A0">
        <w:t xml:space="preserve">receive </w:t>
      </w:r>
      <w:r w:rsidR="00FB22A6">
        <w:t>an ECF</w:t>
      </w:r>
      <w:r w:rsidR="005476BE">
        <w:t>-</w:t>
      </w:r>
      <w:r w:rsidR="00FB22A6">
        <w:t xml:space="preserve">based </w:t>
      </w:r>
      <w:r w:rsidR="00691319">
        <w:t>training and support programme</w:t>
      </w:r>
      <w:r w:rsidR="001D0E11">
        <w:t xml:space="preserve">. This is to enable ECTs to understand and apply the knowledge and skills set out in the </w:t>
      </w:r>
      <w:r w:rsidR="00F24C41">
        <w:t>ECF ‘learn that’</w:t>
      </w:r>
      <w:r w:rsidR="003354A5">
        <w:t xml:space="preserve"> </w:t>
      </w:r>
      <w:r w:rsidR="00B3491D">
        <w:t>and ‘learn how to’ statements</w:t>
      </w:r>
      <w:r w:rsidR="005476BE">
        <w:t xml:space="preserve"> and equip them with the tools to be effective and successful teachers.</w:t>
      </w:r>
      <w:r w:rsidR="00B3491D">
        <w:t xml:space="preserve"> </w:t>
      </w:r>
      <w:r w:rsidR="00992B43">
        <w:t>ECF-based training is expected to be embedded as a central aspect of induction</w:t>
      </w:r>
      <w:r w:rsidR="005069F2">
        <w:t>; it is not an additional training programme.</w:t>
      </w:r>
    </w:p>
    <w:p w14:paraId="40E4B880" w14:textId="77777777" w:rsidR="005069F2" w:rsidRDefault="005069F2" w:rsidP="00A33E0A">
      <w:pPr>
        <w:jc w:val="both"/>
      </w:pPr>
    </w:p>
    <w:p w14:paraId="2186D6C0" w14:textId="05A92CED" w:rsidR="00A908C8" w:rsidRDefault="00DB4A73" w:rsidP="00A33E0A">
      <w:pPr>
        <w:jc w:val="both"/>
      </w:pPr>
      <w:r>
        <w:t>The</w:t>
      </w:r>
      <w:r w:rsidR="00231D2A">
        <w:t xml:space="preserve"> school</w:t>
      </w:r>
      <w:r w:rsidR="005069F2">
        <w:t>’s role</w:t>
      </w:r>
      <w:r w:rsidR="00231D2A">
        <w:t xml:space="preserve"> is </w:t>
      </w:r>
      <w:r w:rsidR="00D408F3">
        <w:t>to support</w:t>
      </w:r>
      <w:r w:rsidR="00E62E1C">
        <w:t xml:space="preserve"> an</w:t>
      </w:r>
      <w:r w:rsidR="00D408F3">
        <w:t xml:space="preserve"> ECT with </w:t>
      </w:r>
      <w:r w:rsidR="001A5909">
        <w:t>advice and guidance</w:t>
      </w:r>
      <w:r w:rsidR="002457D3">
        <w:t xml:space="preserve">. </w:t>
      </w:r>
      <w:r w:rsidR="00244FEF">
        <w:t xml:space="preserve">The </w:t>
      </w:r>
      <w:r w:rsidR="00E62E1C">
        <w:t>H</w:t>
      </w:r>
      <w:r w:rsidR="00244FEF">
        <w:t>eadteacher must appoint a</w:t>
      </w:r>
      <w:r w:rsidR="0017290E">
        <w:t xml:space="preserve">n induction tutor </w:t>
      </w:r>
      <w:r w:rsidR="00AB419E">
        <w:t xml:space="preserve">and a designated ECF </w:t>
      </w:r>
      <w:r w:rsidR="001A077B">
        <w:t>m</w:t>
      </w:r>
      <w:r w:rsidR="00AB419E">
        <w:t>entor</w:t>
      </w:r>
      <w:r w:rsidR="00D72140">
        <w:t xml:space="preserve">. Both </w:t>
      </w:r>
      <w:r w:rsidR="00E62E1C">
        <w:t xml:space="preserve">must hold </w:t>
      </w:r>
      <w:r w:rsidR="00196BBA">
        <w:t>Qualified Teacher Status</w:t>
      </w:r>
      <w:r w:rsidR="00F600A0">
        <w:t xml:space="preserve">, the </w:t>
      </w:r>
      <w:r w:rsidR="00CF39D1">
        <w:t>time,</w:t>
      </w:r>
      <w:r w:rsidR="00E07655">
        <w:t xml:space="preserve"> and </w:t>
      </w:r>
      <w:r w:rsidR="00312EE3">
        <w:t xml:space="preserve">skills </w:t>
      </w:r>
      <w:r w:rsidR="00F600A0">
        <w:t>to undertake the role</w:t>
      </w:r>
      <w:r w:rsidR="00B252A2">
        <w:t>,</w:t>
      </w:r>
      <w:r w:rsidR="00F600A0">
        <w:t xml:space="preserve"> and ha</w:t>
      </w:r>
      <w:r w:rsidR="006C01D6">
        <w:t>ve</w:t>
      </w:r>
      <w:r w:rsidR="00F600A0">
        <w:t xml:space="preserve"> been </w:t>
      </w:r>
      <w:r w:rsidR="00F600A0">
        <w:lastRenderedPageBreak/>
        <w:t xml:space="preserve">appropriately trained </w:t>
      </w:r>
      <w:r w:rsidR="00A34566">
        <w:t xml:space="preserve">in line with the </w:t>
      </w:r>
      <w:r w:rsidR="008D7B64">
        <w:t>statutory guidance.</w:t>
      </w:r>
      <w:r w:rsidR="006C01D6">
        <w:t xml:space="preserve"> </w:t>
      </w:r>
      <w:r w:rsidR="005A3FA1">
        <w:t>D</w:t>
      </w:r>
      <w:r w:rsidR="002262F4">
        <w:t>ifferent individuals</w:t>
      </w:r>
      <w:r w:rsidR="00B46DCA">
        <w:t xml:space="preserve"> are expected to undertake each of these roles</w:t>
      </w:r>
      <w:r w:rsidR="007A12A7">
        <w:t>.</w:t>
      </w:r>
      <w:r w:rsidR="002262F4">
        <w:t xml:space="preserve"> </w:t>
      </w:r>
      <w:r w:rsidR="007A12A7">
        <w:t>I</w:t>
      </w:r>
      <w:r w:rsidR="002262F4">
        <w:t xml:space="preserve">n exceptional circumstances </w:t>
      </w:r>
      <w:r w:rsidR="007A12A7">
        <w:t>it may be necessary for the headteacher/principal</w:t>
      </w:r>
      <w:r w:rsidR="00947D83">
        <w:t xml:space="preserve"> to</w:t>
      </w:r>
      <w:r w:rsidR="001F0591">
        <w:t xml:space="preserve"> designate a single </w:t>
      </w:r>
      <w:r w:rsidR="00426431">
        <w:t>teacher to fulfil both roles, this may be the headteacher/principal themselves</w:t>
      </w:r>
      <w:r w:rsidR="00BC7EE0">
        <w:t>. I</w:t>
      </w:r>
      <w:r w:rsidR="005476BE">
        <w:t>n</w:t>
      </w:r>
      <w:r w:rsidR="00BC7EE0">
        <w:t xml:space="preserve"> this </w:t>
      </w:r>
      <w:r w:rsidR="00970337">
        <w:t>situation</w:t>
      </w:r>
      <w:r w:rsidR="00A908C8">
        <w:t xml:space="preserve"> there</w:t>
      </w:r>
      <w:r w:rsidR="00BC7EE0">
        <w:t xml:space="preserve"> </w:t>
      </w:r>
      <w:r w:rsidR="002262F4">
        <w:t>must be full understanding of the separate roles</w:t>
      </w:r>
      <w:r w:rsidR="005B0C20">
        <w:t>.</w:t>
      </w:r>
      <w:r w:rsidR="00C55F75">
        <w:t xml:space="preserve"> </w:t>
      </w:r>
    </w:p>
    <w:p w14:paraId="4CE94BD5" w14:textId="77777777" w:rsidR="00A908C8" w:rsidRDefault="00A908C8" w:rsidP="00A33E0A">
      <w:pPr>
        <w:jc w:val="both"/>
      </w:pPr>
    </w:p>
    <w:p w14:paraId="0C7042A5" w14:textId="2680E679" w:rsidR="0060172C" w:rsidRDefault="006E3589" w:rsidP="00A33E0A">
      <w:pPr>
        <w:jc w:val="both"/>
      </w:pPr>
      <w:r>
        <w:t>The induction tutor</w:t>
      </w:r>
      <w:r w:rsidR="00D33FF2">
        <w:t xml:space="preserve"> has responsibility </w:t>
      </w:r>
      <w:r w:rsidR="00DE7157">
        <w:t xml:space="preserve">for </w:t>
      </w:r>
      <w:r w:rsidR="003F28F6">
        <w:t>pr</w:t>
      </w:r>
      <w:r w:rsidR="00EC2A6A">
        <w:t>o</w:t>
      </w:r>
      <w:r w:rsidR="003F28F6">
        <w:t>viding, or co-ordinating</w:t>
      </w:r>
      <w:r w:rsidR="00EC2A6A">
        <w:t xml:space="preserve">, guidance for the ECT’s professional </w:t>
      </w:r>
      <w:r w:rsidR="004055C8">
        <w:t>development, this can involve the Appropriate Body</w:t>
      </w:r>
      <w:r w:rsidR="00AA3994">
        <w:rPr>
          <w:rStyle w:val="FootnoteReference"/>
        </w:rPr>
        <w:footnoteReference w:id="3"/>
      </w:r>
      <w:r w:rsidR="004055C8">
        <w:t xml:space="preserve"> where necessary.</w:t>
      </w:r>
      <w:r w:rsidR="00EC2A6A">
        <w:t xml:space="preserve"> </w:t>
      </w:r>
      <w:r w:rsidR="00D364BC">
        <w:t>The i</w:t>
      </w:r>
      <w:r w:rsidR="00CE72A5">
        <w:t xml:space="preserve">nduction tutor </w:t>
      </w:r>
      <w:r w:rsidR="00A908C8">
        <w:t>also has responsibility for</w:t>
      </w:r>
      <w:r w:rsidR="00BB6D75">
        <w:t xml:space="preserve"> </w:t>
      </w:r>
      <w:r w:rsidR="00A6151D">
        <w:t xml:space="preserve">regular </w:t>
      </w:r>
      <w:r w:rsidR="000144F6">
        <w:t xml:space="preserve">monitoring, </w:t>
      </w:r>
      <w:r w:rsidR="00A6151D">
        <w:t>assessment and report writing</w:t>
      </w:r>
      <w:r w:rsidR="00887DAC">
        <w:t>.</w:t>
      </w:r>
      <w:r w:rsidR="00BB6D75">
        <w:t xml:space="preserve"> </w:t>
      </w:r>
      <w:r w:rsidR="00206E58" w:rsidRPr="008A716B">
        <w:t>The</w:t>
      </w:r>
      <w:r w:rsidR="00206E58">
        <w:t xml:space="preserve"> </w:t>
      </w:r>
      <w:r w:rsidR="00D67560">
        <w:t xml:space="preserve">pre-planned </w:t>
      </w:r>
      <w:r w:rsidR="004920B7">
        <w:t xml:space="preserve">induction </w:t>
      </w:r>
      <w:r w:rsidR="00206E58">
        <w:t xml:space="preserve">programme </w:t>
      </w:r>
      <w:r w:rsidR="005929BF">
        <w:t xml:space="preserve">must consider </w:t>
      </w:r>
      <w:r w:rsidR="00CF2363">
        <w:t>the</w:t>
      </w:r>
      <w:r w:rsidR="005929BF">
        <w:t xml:space="preserve"> needs and circumstance</w:t>
      </w:r>
      <w:r w:rsidR="00930FD1">
        <w:t xml:space="preserve"> </w:t>
      </w:r>
      <w:r w:rsidR="008F5A3B">
        <w:t xml:space="preserve">for each </w:t>
      </w:r>
      <w:r w:rsidR="005B0C20">
        <w:t>EC</w:t>
      </w:r>
      <w:r w:rsidR="008F5A3B">
        <w:t>T</w:t>
      </w:r>
      <w:r w:rsidR="003079E9">
        <w:t>.</w:t>
      </w:r>
      <w:r w:rsidR="008F5A3B">
        <w:t xml:space="preserve"> </w:t>
      </w:r>
    </w:p>
    <w:p w14:paraId="6A8A50FA" w14:textId="77777777" w:rsidR="0060172C" w:rsidRDefault="0060172C" w:rsidP="00A33E0A">
      <w:pPr>
        <w:jc w:val="both"/>
      </w:pPr>
    </w:p>
    <w:p w14:paraId="2D0EFA2E" w14:textId="0239B57C" w:rsidR="00206E58" w:rsidRDefault="005B0C20" w:rsidP="00E62E1C">
      <w:pPr>
        <w:jc w:val="both"/>
      </w:pPr>
      <w:r>
        <w:t xml:space="preserve">The </w:t>
      </w:r>
      <w:r w:rsidRPr="00601763">
        <w:t xml:space="preserve">dedicated ECF </w:t>
      </w:r>
      <w:r w:rsidR="001A077B" w:rsidRPr="00601763">
        <w:t>mentor</w:t>
      </w:r>
      <w:r w:rsidR="00601763">
        <w:t>’s role</w:t>
      </w:r>
      <w:r w:rsidR="001A077B">
        <w:t xml:space="preserve"> </w:t>
      </w:r>
      <w:r w:rsidR="00A66297">
        <w:t xml:space="preserve">is to work </w:t>
      </w:r>
      <w:r w:rsidR="00AC68CC">
        <w:t xml:space="preserve">regularly and </w:t>
      </w:r>
      <w:r w:rsidR="00A66297">
        <w:t xml:space="preserve">collaboratively </w:t>
      </w:r>
      <w:r w:rsidR="009927A0">
        <w:t>with the ECT and other colleagues</w:t>
      </w:r>
      <w:r w:rsidR="009860E5">
        <w:t>.  They need</w:t>
      </w:r>
      <w:r w:rsidR="00F030C0">
        <w:t xml:space="preserve"> to ensure the ECT receives a high-quality</w:t>
      </w:r>
      <w:r w:rsidR="00601763">
        <w:t xml:space="preserve"> ECF-based induction programme</w:t>
      </w:r>
      <w:r w:rsidR="00B728DD">
        <w:t>, i</w:t>
      </w:r>
      <w:r w:rsidR="0060172C">
        <w:t xml:space="preserve">nstructional </w:t>
      </w:r>
      <w:r w:rsidR="00D439B7">
        <w:t>coaching,</w:t>
      </w:r>
      <w:r w:rsidR="0060172C">
        <w:t xml:space="preserve"> and </w:t>
      </w:r>
      <w:r w:rsidR="009873C7">
        <w:t xml:space="preserve">regular modelling </w:t>
      </w:r>
      <w:r w:rsidR="003D34EA">
        <w:t xml:space="preserve">to support the ECT develop </w:t>
      </w:r>
      <w:r w:rsidR="00967F28">
        <w:t>their pedagogy and practice.</w:t>
      </w:r>
    </w:p>
    <w:p w14:paraId="3EFEF14B" w14:textId="77777777" w:rsidR="009860E5" w:rsidRDefault="009860E5" w:rsidP="00E62E1C">
      <w:pPr>
        <w:jc w:val="both"/>
      </w:pPr>
    </w:p>
    <w:p w14:paraId="1DCCD455" w14:textId="781E07E3" w:rsidR="009860E5" w:rsidRDefault="009860E5">
      <w:r>
        <w:br w:type="page"/>
      </w:r>
    </w:p>
    <w:p w14:paraId="52FA1586" w14:textId="0C80E069" w:rsidR="00EC3862" w:rsidRDefault="009860E5" w:rsidP="00A33E0A">
      <w:pPr>
        <w:jc w:val="both"/>
        <w:rPr>
          <w:b/>
          <w:bCs/>
        </w:rPr>
      </w:pPr>
      <w:r w:rsidRPr="00B86147">
        <w:lastRenderedPageBreak/>
        <w:t xml:space="preserve">Model policy </w:t>
      </w:r>
      <w:r w:rsidR="00132D7D" w:rsidRPr="00B86147">
        <w:t xml:space="preserve">- </w:t>
      </w:r>
      <w:r w:rsidR="00132D7D" w:rsidRPr="00B86147">
        <w:rPr>
          <w:b/>
          <w:bCs/>
        </w:rPr>
        <w:t>as</w:t>
      </w:r>
      <w:r w:rsidR="006343DC" w:rsidRPr="00B86147">
        <w:rPr>
          <w:b/>
          <w:bCs/>
        </w:rPr>
        <w:t xml:space="preserve"> a reference point</w:t>
      </w:r>
      <w:r w:rsidR="00F624AC" w:rsidRPr="00B86147">
        <w:rPr>
          <w:b/>
          <w:bCs/>
        </w:rPr>
        <w:t xml:space="preserve"> </w:t>
      </w:r>
      <w:r w:rsidR="00FE2DB7" w:rsidRPr="00B86147">
        <w:rPr>
          <w:b/>
          <w:bCs/>
        </w:rPr>
        <w:t xml:space="preserve">for schools to use </w:t>
      </w:r>
      <w:r w:rsidR="00F624AC" w:rsidRPr="00B86147">
        <w:rPr>
          <w:b/>
          <w:bCs/>
        </w:rPr>
        <w:t xml:space="preserve">to </w:t>
      </w:r>
      <w:r w:rsidR="00FE2DB7" w:rsidRPr="00B86147">
        <w:rPr>
          <w:b/>
          <w:bCs/>
        </w:rPr>
        <w:t xml:space="preserve">when writing their </w:t>
      </w:r>
      <w:r w:rsidR="00F624AC" w:rsidRPr="00B86147">
        <w:rPr>
          <w:b/>
          <w:bCs/>
        </w:rPr>
        <w:t>policy</w:t>
      </w:r>
    </w:p>
    <w:p w14:paraId="5F188CF8" w14:textId="63988189" w:rsidR="009860E5" w:rsidRDefault="009860E5" w:rsidP="00E62E1C">
      <w:pPr>
        <w:jc w:val="both"/>
        <w:rPr>
          <w:b/>
          <w:bCs/>
        </w:rPr>
      </w:pPr>
    </w:p>
    <w:p w14:paraId="29F35D05" w14:textId="77777777" w:rsidR="00485DFB" w:rsidRDefault="00485DFB" w:rsidP="00A33E0A">
      <w:pPr>
        <w:jc w:val="both"/>
        <w:rPr>
          <w:b/>
          <w:bCs/>
        </w:rPr>
      </w:pPr>
    </w:p>
    <w:p w14:paraId="78444A4D" w14:textId="77777777" w:rsidR="003A341D" w:rsidRPr="007F0CBC" w:rsidRDefault="003A341D" w:rsidP="00A33E0A">
      <w:pPr>
        <w:jc w:val="both"/>
        <w:rPr>
          <w:b/>
          <w:bCs/>
        </w:rPr>
      </w:pPr>
      <w:r>
        <w:rPr>
          <w:b/>
          <w:bCs/>
        </w:rPr>
        <w:t>_______________________ School</w:t>
      </w:r>
    </w:p>
    <w:p w14:paraId="6EE362BB" w14:textId="77777777" w:rsidR="00F67AEC" w:rsidRPr="005476BE" w:rsidRDefault="00C8571A" w:rsidP="00A33E0A">
      <w:pPr>
        <w:jc w:val="both"/>
        <w:rPr>
          <w:b/>
        </w:rPr>
      </w:pPr>
      <w:r w:rsidRPr="005476BE">
        <w:rPr>
          <w:b/>
        </w:rPr>
        <w:t xml:space="preserve">Policy for the statutory induction of </w:t>
      </w:r>
      <w:r w:rsidR="000C3F5E" w:rsidRPr="005476BE">
        <w:rPr>
          <w:b/>
        </w:rPr>
        <w:t>Early Career Teachers</w:t>
      </w:r>
      <w:r w:rsidRPr="005476BE">
        <w:rPr>
          <w:b/>
        </w:rPr>
        <w:t xml:space="preserve"> </w:t>
      </w:r>
      <w:r w:rsidR="004C6768" w:rsidRPr="005476BE">
        <w:rPr>
          <w:b/>
        </w:rPr>
        <w:t>(</w:t>
      </w:r>
      <w:r w:rsidR="000C3F5E" w:rsidRPr="005476BE">
        <w:rPr>
          <w:b/>
        </w:rPr>
        <w:t>EC</w:t>
      </w:r>
      <w:r w:rsidR="004C6768" w:rsidRPr="005476BE">
        <w:rPr>
          <w:b/>
        </w:rPr>
        <w:t>Ts)</w:t>
      </w:r>
    </w:p>
    <w:p w14:paraId="244F9C64" w14:textId="77777777" w:rsidR="004A2F72" w:rsidRDefault="004A2F72" w:rsidP="00A33E0A">
      <w:pPr>
        <w:jc w:val="both"/>
      </w:pPr>
    </w:p>
    <w:p w14:paraId="1D2F76EE" w14:textId="77777777" w:rsidR="004A2F72" w:rsidRPr="009E1248" w:rsidRDefault="004A2F72" w:rsidP="00A33E0A">
      <w:pPr>
        <w:jc w:val="both"/>
        <w:rPr>
          <w:b/>
          <w:bCs/>
        </w:rPr>
      </w:pPr>
      <w:r w:rsidRPr="009E1248">
        <w:rPr>
          <w:b/>
          <w:bCs/>
        </w:rPr>
        <w:t>Purpose</w:t>
      </w:r>
    </w:p>
    <w:p w14:paraId="40F250B1" w14:textId="5BC5704A" w:rsidR="00A8248C" w:rsidRDefault="006F673D" w:rsidP="00A33E0A">
      <w:pPr>
        <w:jc w:val="both"/>
        <w:rPr>
          <w:rFonts w:cs="Arial"/>
          <w:szCs w:val="24"/>
        </w:rPr>
      </w:pPr>
      <w:r>
        <w:t xml:space="preserve">Our school’s </w:t>
      </w:r>
      <w:r w:rsidR="00A10F4B">
        <w:t xml:space="preserve">statutory </w:t>
      </w:r>
      <w:r>
        <w:t>induction</w:t>
      </w:r>
      <w:r w:rsidR="00A744C0">
        <w:t xml:space="preserve"> process</w:t>
      </w:r>
      <w:r w:rsidR="00F140A7">
        <w:t>es</w:t>
      </w:r>
      <w:r w:rsidR="00A744C0">
        <w:t xml:space="preserve"> ha</w:t>
      </w:r>
      <w:r w:rsidR="00F140A7">
        <w:t>ve</w:t>
      </w:r>
      <w:r w:rsidR="00A744C0">
        <w:t xml:space="preserve"> been developed to ensure </w:t>
      </w:r>
      <w:r w:rsidR="003A1D5A">
        <w:t xml:space="preserve">our </w:t>
      </w:r>
      <w:r w:rsidR="006F5EAA">
        <w:t>ECTs</w:t>
      </w:r>
      <w:r w:rsidR="003A1D5A">
        <w:t xml:space="preserve"> feel supported </w:t>
      </w:r>
      <w:r w:rsidR="00B0487A">
        <w:t>and challenged</w:t>
      </w:r>
      <w:r w:rsidR="00D705AE">
        <w:t xml:space="preserve">, both professionally and </w:t>
      </w:r>
      <w:r w:rsidR="0013661A">
        <w:t>individually,</w:t>
      </w:r>
      <w:r w:rsidR="00B958A8">
        <w:t xml:space="preserve"> </w:t>
      </w:r>
      <w:r w:rsidR="00F568F1">
        <w:t xml:space="preserve">and to enable them to have a positive </w:t>
      </w:r>
      <w:r w:rsidR="00B63200">
        <w:t>impact on</w:t>
      </w:r>
      <w:r w:rsidR="0071295B">
        <w:t xml:space="preserve"> outcomes for our </w:t>
      </w:r>
      <w:r w:rsidR="0099472A">
        <w:t>pupil</w:t>
      </w:r>
      <w:r w:rsidR="00E77D63">
        <w:t>s</w:t>
      </w:r>
      <w:r w:rsidR="0099472A">
        <w:t>/student</w:t>
      </w:r>
      <w:r w:rsidR="00E77D63">
        <w:t>s</w:t>
      </w:r>
      <w:r w:rsidR="0099472A">
        <w:t>.</w:t>
      </w:r>
      <w:r w:rsidR="00275EF1" w:rsidRPr="008E1518">
        <w:rPr>
          <w:rFonts w:cs="Arial"/>
          <w:szCs w:val="24"/>
        </w:rPr>
        <w:t xml:space="preserve"> </w:t>
      </w:r>
      <w:r w:rsidR="00A8248C" w:rsidRPr="008E1518">
        <w:rPr>
          <w:rFonts w:cs="Arial"/>
          <w:szCs w:val="24"/>
        </w:rPr>
        <w:t xml:space="preserve">Statutory induction for ECTs supplements the school’s induction process for </w:t>
      </w:r>
      <w:r w:rsidR="003C0703">
        <w:rPr>
          <w:rFonts w:cs="Arial"/>
          <w:szCs w:val="24"/>
        </w:rPr>
        <w:t xml:space="preserve">all </w:t>
      </w:r>
      <w:r w:rsidR="00A8248C" w:rsidRPr="008E1518">
        <w:rPr>
          <w:rFonts w:cs="Arial"/>
          <w:szCs w:val="24"/>
        </w:rPr>
        <w:t>new staff and ensures the ECT is provided with appropriate guidance, support, training, development opportunities</w:t>
      </w:r>
      <w:r w:rsidR="000144F6">
        <w:rPr>
          <w:rFonts w:cs="Arial"/>
          <w:szCs w:val="24"/>
        </w:rPr>
        <w:t xml:space="preserve">, </w:t>
      </w:r>
      <w:r w:rsidR="0013661A" w:rsidRPr="008E1518">
        <w:rPr>
          <w:rFonts w:cs="Arial"/>
          <w:szCs w:val="24"/>
        </w:rPr>
        <w:t>monitoring,</w:t>
      </w:r>
      <w:r w:rsidR="00A8248C" w:rsidRPr="008E1518">
        <w:rPr>
          <w:rFonts w:cs="Arial"/>
          <w:szCs w:val="24"/>
        </w:rPr>
        <w:t xml:space="preserve"> and assessment through a structured but flexible individual programme.</w:t>
      </w:r>
    </w:p>
    <w:p w14:paraId="71E96CDD" w14:textId="77777777" w:rsidR="003716BB" w:rsidRDefault="003716BB" w:rsidP="00A33E0A">
      <w:pPr>
        <w:jc w:val="both"/>
      </w:pPr>
    </w:p>
    <w:p w14:paraId="64866006" w14:textId="50653176" w:rsidR="00172B69" w:rsidRDefault="00F419E3" w:rsidP="00A33E0A">
      <w:pPr>
        <w:jc w:val="both"/>
      </w:pPr>
      <w:r>
        <w:t>The</w:t>
      </w:r>
      <w:r w:rsidR="00A10F4B">
        <w:t xml:space="preserve"> induction processes will</w:t>
      </w:r>
      <w:r w:rsidR="00CF39D1">
        <w:t>:</w:t>
      </w:r>
    </w:p>
    <w:p w14:paraId="121EAF75" w14:textId="595DFBCE" w:rsidR="00A10F4B" w:rsidRDefault="008D3ADC" w:rsidP="00132D7D">
      <w:pPr>
        <w:pStyle w:val="ListParagraph"/>
        <w:numPr>
          <w:ilvl w:val="0"/>
          <w:numId w:val="21"/>
        </w:numPr>
        <w:jc w:val="both"/>
      </w:pPr>
      <w:r>
        <w:t xml:space="preserve">support each ECT to demonstrate they can meet all the Teachers’ Standards, ‘consistently over a sustained period’; </w:t>
      </w:r>
      <w:r w:rsidR="00B86147">
        <w:t xml:space="preserve">as referred in </w:t>
      </w:r>
      <w:r>
        <w:t>statutory guidance</w:t>
      </w:r>
      <w:r w:rsidR="00843965">
        <w:t xml:space="preserve"> and </w:t>
      </w:r>
      <w:r w:rsidR="00761520">
        <w:t>successfully complet</w:t>
      </w:r>
      <w:r w:rsidR="00843965">
        <w:t>e</w:t>
      </w:r>
      <w:r w:rsidR="00761520">
        <w:t xml:space="preserve"> their statutory induction </w:t>
      </w:r>
      <w:r w:rsidR="0013661A">
        <w:t>period.</w:t>
      </w:r>
    </w:p>
    <w:p w14:paraId="1C205FB8" w14:textId="77777777" w:rsidR="00B86147" w:rsidRDefault="00B3222F" w:rsidP="00132D7D">
      <w:pPr>
        <w:pStyle w:val="ListParagraph"/>
        <w:numPr>
          <w:ilvl w:val="0"/>
          <w:numId w:val="21"/>
        </w:numPr>
        <w:jc w:val="both"/>
      </w:pPr>
      <w:r>
        <w:t xml:space="preserve">ensure each </w:t>
      </w:r>
      <w:r w:rsidR="007825DF">
        <w:t>ECT</w:t>
      </w:r>
      <w:r>
        <w:t xml:space="preserve"> receives their statutory entitlements:</w:t>
      </w:r>
    </w:p>
    <w:p w14:paraId="71C1FF3B" w14:textId="150F0F21" w:rsidR="00B86147" w:rsidRDefault="00A2792A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trained induction tutor </w:t>
      </w:r>
      <w:r w:rsidR="00431AB7">
        <w:t>and</w:t>
      </w:r>
      <w:r w:rsidR="007825DF">
        <w:t xml:space="preserve"> dedicated</w:t>
      </w:r>
      <w:r w:rsidR="0008205E" w:rsidRPr="0008205E">
        <w:t xml:space="preserve"> </w:t>
      </w:r>
      <w:r w:rsidR="007825DF">
        <w:t xml:space="preserve">ECF </w:t>
      </w:r>
      <w:r w:rsidR="00431AB7">
        <w:t>mentor</w:t>
      </w:r>
      <w:r w:rsidR="00FC73D6">
        <w:t xml:space="preserve"> with QTS</w:t>
      </w:r>
      <w:r w:rsidR="004345F8">
        <w:t>;</w:t>
      </w:r>
      <w:r w:rsidR="00431AB7">
        <w:t xml:space="preserve"> </w:t>
      </w:r>
      <w:r w:rsidR="00A12684">
        <w:t xml:space="preserve">a reduced timetable </w:t>
      </w:r>
      <w:r w:rsidR="001E3A0B">
        <w:t xml:space="preserve">for </w:t>
      </w:r>
      <w:r w:rsidR="00A41EFF">
        <w:t>professional development</w:t>
      </w:r>
      <w:r w:rsidR="007F7109">
        <w:t xml:space="preserve"> during the programme of 10% in year one and 5% in year two</w:t>
      </w:r>
      <w:r w:rsidR="000144F6">
        <w:t xml:space="preserve"> (in addition to PPA time)</w:t>
      </w:r>
    </w:p>
    <w:p w14:paraId="58B9C09C" w14:textId="76BCA223" w:rsidR="00B86147" w:rsidRDefault="00660BCB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>observation</w:t>
      </w:r>
      <w:r w:rsidR="00B86147">
        <w:t>(s)</w:t>
      </w:r>
      <w:r>
        <w:t xml:space="preserve"> of </w:t>
      </w:r>
      <w:r w:rsidR="00071F1B">
        <w:t>experience</w:t>
      </w:r>
      <w:r w:rsidR="00980679">
        <w:t>d</w:t>
      </w:r>
      <w:r w:rsidR="00071F1B">
        <w:t xml:space="preserve"> teachers</w:t>
      </w:r>
    </w:p>
    <w:p w14:paraId="6BDB3A28" w14:textId="77777777" w:rsidR="00B86147" w:rsidRDefault="00394AEE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have </w:t>
      </w:r>
      <w:r w:rsidR="00E0011B">
        <w:t>no unreasonable demands made of them</w:t>
      </w:r>
      <w:r w:rsidR="003611A0">
        <w:t xml:space="preserve">; </w:t>
      </w:r>
    </w:p>
    <w:p w14:paraId="1974DCE2" w14:textId="77777777" w:rsidR="00B86147" w:rsidRDefault="003611A0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>a pre-planned induction programme</w:t>
      </w:r>
    </w:p>
    <w:p w14:paraId="27FD0768" w14:textId="3DA51625" w:rsidR="00B86147" w:rsidRDefault="00151445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a </w:t>
      </w:r>
      <w:r w:rsidR="004345F8">
        <w:t>support plan when necessary</w:t>
      </w:r>
    </w:p>
    <w:p w14:paraId="749AB792" w14:textId="5E080E2C" w:rsidR="00B86147" w:rsidRDefault="0090460E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an </w:t>
      </w:r>
      <w:r w:rsidR="008A266F">
        <w:t>ECF</w:t>
      </w:r>
      <w:r w:rsidR="007B0EC1">
        <w:t>-</w:t>
      </w:r>
      <w:r w:rsidR="008A266F">
        <w:t>based induction programme</w:t>
      </w:r>
    </w:p>
    <w:p w14:paraId="329DCD10" w14:textId="76148C78" w:rsidR="00B86147" w:rsidRDefault="001E7D99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formal observation of teaching at least </w:t>
      </w:r>
      <w:r w:rsidR="00665C6F">
        <w:t>each half</w:t>
      </w:r>
      <w:r w:rsidR="000E68D8">
        <w:t>-</w:t>
      </w:r>
      <w:r w:rsidR="00665C6F">
        <w:t>term with verbal and written feedback</w:t>
      </w:r>
    </w:p>
    <w:p w14:paraId="16D00CB0" w14:textId="0BDA9F69" w:rsidR="00B86147" w:rsidRDefault="00CF39D1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>regular</w:t>
      </w:r>
      <w:r w:rsidR="00722463">
        <w:t xml:space="preserve"> meeting</w:t>
      </w:r>
      <w:r w:rsidR="0059245F">
        <w:t>s</w:t>
      </w:r>
      <w:r w:rsidR="00722463">
        <w:t xml:space="preserve"> with the induction tutor and half-termly reviews</w:t>
      </w:r>
      <w:r w:rsidR="00A74B01">
        <w:t xml:space="preserve"> of progress;</w:t>
      </w:r>
    </w:p>
    <w:p w14:paraId="3B52733B" w14:textId="28B7E334" w:rsidR="00B86147" w:rsidRDefault="000144F6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fair and </w:t>
      </w:r>
      <w:r w:rsidR="008C3215">
        <w:t xml:space="preserve">rigorous assessment </w:t>
      </w:r>
      <w:r w:rsidR="000B7367">
        <w:t>against all of the Teachers’ Standards</w:t>
      </w:r>
    </w:p>
    <w:p w14:paraId="6FEA4F07" w14:textId="77777777" w:rsidR="00B86147" w:rsidRDefault="00203744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>two</w:t>
      </w:r>
      <w:r w:rsidR="00655A1F">
        <w:t xml:space="preserve"> formal </w:t>
      </w:r>
      <w:r w:rsidR="008247B2">
        <w:t>assessment meeting</w:t>
      </w:r>
      <w:r w:rsidR="000D7EEF">
        <w:t xml:space="preserve">s and </w:t>
      </w:r>
      <w:r w:rsidR="008F433B">
        <w:t>reports</w:t>
      </w:r>
    </w:p>
    <w:p w14:paraId="3E3DD6D9" w14:textId="70C1A3BE" w:rsidR="00B3222F" w:rsidRDefault="008D18A4" w:rsidP="003716BB">
      <w:pPr>
        <w:pStyle w:val="ListParagraph"/>
        <w:numPr>
          <w:ilvl w:val="1"/>
          <w:numId w:val="23"/>
        </w:numPr>
        <w:ind w:left="1134" w:hanging="425"/>
        <w:jc w:val="both"/>
      </w:pPr>
      <w:r>
        <w:t xml:space="preserve">and a named contact at the </w:t>
      </w:r>
      <w:r w:rsidR="00B86147">
        <w:t>a</w:t>
      </w:r>
      <w:r>
        <w:t>ppropriate</w:t>
      </w:r>
      <w:r w:rsidR="00264DEA">
        <w:t xml:space="preserve"> Body</w:t>
      </w:r>
    </w:p>
    <w:p w14:paraId="65681746" w14:textId="77777777" w:rsidR="006926DF" w:rsidRDefault="006926DF" w:rsidP="00132D7D">
      <w:pPr>
        <w:pStyle w:val="ListParagraph"/>
        <w:numPr>
          <w:ilvl w:val="0"/>
          <w:numId w:val="20"/>
        </w:numPr>
        <w:jc w:val="both"/>
      </w:pPr>
      <w:r>
        <w:t xml:space="preserve">ensure each ECT accesses </w:t>
      </w:r>
      <w:r w:rsidR="00C24240">
        <w:t>an ECF-based induction programme with dedicated support from their mentor</w:t>
      </w:r>
    </w:p>
    <w:p w14:paraId="6551CD77" w14:textId="0554B504" w:rsidR="004A204D" w:rsidRDefault="004A204D" w:rsidP="00132D7D">
      <w:pPr>
        <w:pStyle w:val="ListParagraph"/>
        <w:numPr>
          <w:ilvl w:val="0"/>
          <w:numId w:val="20"/>
        </w:numPr>
        <w:jc w:val="both"/>
      </w:pPr>
      <w:r>
        <w:t xml:space="preserve">provide appropriate </w:t>
      </w:r>
      <w:r w:rsidR="000144F6">
        <w:t xml:space="preserve">support, </w:t>
      </w:r>
      <w:r w:rsidR="00AE42E1">
        <w:t>advice,</w:t>
      </w:r>
      <w:r w:rsidR="000144F6">
        <w:t xml:space="preserve"> and </w:t>
      </w:r>
      <w:r w:rsidR="00B91505">
        <w:t xml:space="preserve">guidance </w:t>
      </w:r>
      <w:r w:rsidR="006138BF">
        <w:t xml:space="preserve">to </w:t>
      </w:r>
      <w:r w:rsidR="0047032D">
        <w:t xml:space="preserve">each </w:t>
      </w:r>
      <w:r w:rsidR="00141200">
        <w:t>EC</w:t>
      </w:r>
      <w:r w:rsidR="0047032D">
        <w:t xml:space="preserve">T based on individual </w:t>
      </w:r>
      <w:r w:rsidR="00A9668A">
        <w:t>talents</w:t>
      </w:r>
      <w:r w:rsidR="00B767EA">
        <w:t xml:space="preserve"> and needs</w:t>
      </w:r>
      <w:r w:rsidR="00FC73D6">
        <w:t xml:space="preserve"> including lesson observations each half-term</w:t>
      </w:r>
    </w:p>
    <w:p w14:paraId="0E4443CC" w14:textId="77777777" w:rsidR="00B767EA" w:rsidRDefault="00C20790" w:rsidP="00132D7D">
      <w:pPr>
        <w:pStyle w:val="ListParagraph"/>
        <w:numPr>
          <w:ilvl w:val="0"/>
          <w:numId w:val="20"/>
        </w:numPr>
        <w:jc w:val="both"/>
      </w:pPr>
      <w:r>
        <w:t xml:space="preserve">provide examples of good practice and </w:t>
      </w:r>
      <w:r w:rsidR="00F24DD1">
        <w:t xml:space="preserve">facilitate each </w:t>
      </w:r>
      <w:r w:rsidR="00141200">
        <w:t>EC</w:t>
      </w:r>
      <w:r w:rsidR="00F24DD1">
        <w:t xml:space="preserve">T observing </w:t>
      </w:r>
      <w:r w:rsidR="005D7D08">
        <w:t>effective teaching based on their development needs</w:t>
      </w:r>
    </w:p>
    <w:p w14:paraId="6BE99C5C" w14:textId="65F4E4CC" w:rsidR="00D0288D" w:rsidRDefault="00AE1A24" w:rsidP="00132D7D">
      <w:pPr>
        <w:pStyle w:val="ListParagraph"/>
        <w:numPr>
          <w:ilvl w:val="0"/>
          <w:numId w:val="20"/>
        </w:numPr>
        <w:jc w:val="both"/>
      </w:pPr>
      <w:r>
        <w:t>support</w:t>
      </w:r>
      <w:r w:rsidR="00D33453">
        <w:t xml:space="preserve"> </w:t>
      </w:r>
      <w:r w:rsidR="00B465ED">
        <w:t>EC</w:t>
      </w:r>
      <w:r w:rsidR="00D33453">
        <w:t xml:space="preserve">Ts to develop positive relationships with all </w:t>
      </w:r>
      <w:r w:rsidR="00DC55CB">
        <w:t xml:space="preserve">members of the school community for the </w:t>
      </w:r>
      <w:r w:rsidR="00D05930">
        <w:t>enhancement</w:t>
      </w:r>
      <w:r w:rsidR="00DC55CB">
        <w:t xml:space="preserve"> of pupil outcomes</w:t>
      </w:r>
    </w:p>
    <w:p w14:paraId="7C20588C" w14:textId="77777777" w:rsidR="00991843" w:rsidRDefault="00DD293A" w:rsidP="00132D7D">
      <w:pPr>
        <w:pStyle w:val="ListParagraph"/>
        <w:numPr>
          <w:ilvl w:val="0"/>
          <w:numId w:val="20"/>
        </w:numPr>
        <w:jc w:val="both"/>
      </w:pPr>
      <w:r>
        <w:t xml:space="preserve">encourage </w:t>
      </w:r>
      <w:r w:rsidR="00657A66">
        <w:t>EC</w:t>
      </w:r>
      <w:r>
        <w:t>T</w:t>
      </w:r>
      <w:r w:rsidR="008C52C6">
        <w:t>s</w:t>
      </w:r>
      <w:r>
        <w:t xml:space="preserve"> to become reflective practitioner</w:t>
      </w:r>
      <w:r w:rsidR="008C52C6">
        <w:t>s</w:t>
      </w:r>
      <w:r w:rsidR="00657A66">
        <w:t>, supported by ECF</w:t>
      </w:r>
      <w:r w:rsidR="00F150BE">
        <w:t xml:space="preserve"> </w:t>
      </w:r>
      <w:r w:rsidR="001E4D2A">
        <w:t xml:space="preserve">resources and </w:t>
      </w:r>
      <w:r w:rsidR="003D0025">
        <w:t>personnel</w:t>
      </w:r>
      <w:r w:rsidR="00A446BB">
        <w:t xml:space="preserve"> to aid personal development</w:t>
      </w:r>
    </w:p>
    <w:p w14:paraId="7FF1FF0C" w14:textId="77777777" w:rsidR="00A446BB" w:rsidRDefault="006E2E3D" w:rsidP="00132D7D">
      <w:pPr>
        <w:pStyle w:val="ListParagraph"/>
        <w:numPr>
          <w:ilvl w:val="0"/>
          <w:numId w:val="20"/>
        </w:numPr>
        <w:jc w:val="both"/>
      </w:pPr>
      <w:r>
        <w:t xml:space="preserve">acknowledge </w:t>
      </w:r>
      <w:r w:rsidR="00CC7C5D">
        <w:t>success and celebrate good practice</w:t>
      </w:r>
    </w:p>
    <w:p w14:paraId="01D269DF" w14:textId="77777777" w:rsidR="00CC7C5D" w:rsidRDefault="00B53AE3" w:rsidP="00132D7D">
      <w:pPr>
        <w:pStyle w:val="ListParagraph"/>
        <w:numPr>
          <w:ilvl w:val="0"/>
          <w:numId w:val="20"/>
        </w:numPr>
        <w:jc w:val="both"/>
      </w:pPr>
      <w:r>
        <w:t xml:space="preserve">provide opportunities for </w:t>
      </w:r>
      <w:r w:rsidR="00617996">
        <w:t>professional</w:t>
      </w:r>
      <w:r>
        <w:t xml:space="preserve"> development</w:t>
      </w:r>
      <w:r w:rsidR="003D0025">
        <w:t xml:space="preserve"> beyond the ECF if required</w:t>
      </w:r>
    </w:p>
    <w:p w14:paraId="003442E4" w14:textId="77777777" w:rsidR="00367F8D" w:rsidRDefault="00367F8D" w:rsidP="00132D7D">
      <w:pPr>
        <w:pStyle w:val="ListParagraph"/>
        <w:numPr>
          <w:ilvl w:val="0"/>
          <w:numId w:val="20"/>
        </w:numPr>
        <w:jc w:val="both"/>
      </w:pPr>
      <w:r>
        <w:t xml:space="preserve">support </w:t>
      </w:r>
      <w:r w:rsidR="009E2E84">
        <w:t xml:space="preserve">an understanding of the </w:t>
      </w:r>
      <w:r w:rsidR="00482ABF">
        <w:t xml:space="preserve">full </w:t>
      </w:r>
      <w:r w:rsidR="00CC3102">
        <w:t>role and responsibilities of a teacher</w:t>
      </w:r>
    </w:p>
    <w:p w14:paraId="6DC09AE3" w14:textId="77777777" w:rsidR="005B151E" w:rsidRDefault="005B151E" w:rsidP="00A33E0A">
      <w:pPr>
        <w:jc w:val="both"/>
      </w:pPr>
    </w:p>
    <w:p w14:paraId="39845275" w14:textId="36F8BDCB" w:rsidR="00AB2F63" w:rsidRDefault="005B151E">
      <w:pPr>
        <w:jc w:val="both"/>
      </w:pPr>
      <w:r w:rsidRPr="00575BDA">
        <w:lastRenderedPageBreak/>
        <w:t xml:space="preserve">This policy </w:t>
      </w:r>
      <w:r w:rsidR="00210E83" w:rsidRPr="00575BDA">
        <w:t xml:space="preserve">is underpinned by </w:t>
      </w:r>
      <w:r w:rsidR="00A92D35" w:rsidRPr="00575BDA">
        <w:t>a whole school commitment to support teachers new to the profession</w:t>
      </w:r>
      <w:r w:rsidR="00BD6F2B" w:rsidRPr="00575BDA">
        <w:t xml:space="preserve"> </w:t>
      </w:r>
      <w:r w:rsidR="00575BDA">
        <w:t>to develop their skills, pedagog</w:t>
      </w:r>
      <w:r w:rsidR="005D0091">
        <w:t>y,</w:t>
      </w:r>
      <w:r w:rsidR="00575BDA">
        <w:t xml:space="preserve"> and practice</w:t>
      </w:r>
      <w:r w:rsidR="00D05930">
        <w:t>.</w:t>
      </w:r>
    </w:p>
    <w:p w14:paraId="75113AE3" w14:textId="77777777" w:rsidR="00264DEA" w:rsidRDefault="00264DEA" w:rsidP="00A33E0A">
      <w:pPr>
        <w:jc w:val="both"/>
      </w:pPr>
    </w:p>
    <w:p w14:paraId="245C1232" w14:textId="77777777" w:rsidR="00AB2F63" w:rsidRPr="00595282" w:rsidRDefault="00AB2F63" w:rsidP="00A33E0A">
      <w:pPr>
        <w:jc w:val="both"/>
        <w:rPr>
          <w:b/>
          <w:bCs/>
        </w:rPr>
      </w:pPr>
      <w:r w:rsidRPr="00595282">
        <w:rPr>
          <w:b/>
          <w:bCs/>
        </w:rPr>
        <w:t>Roles and responsibilities</w:t>
      </w:r>
    </w:p>
    <w:p w14:paraId="5767FAFA" w14:textId="77777777" w:rsidR="00264DEA" w:rsidRDefault="00264DEA">
      <w:pPr>
        <w:jc w:val="both"/>
        <w:rPr>
          <w:b/>
          <w:bCs/>
        </w:rPr>
      </w:pPr>
    </w:p>
    <w:p w14:paraId="7B32CAC6" w14:textId="2523545B" w:rsidR="00595282" w:rsidRPr="00595282" w:rsidRDefault="00595282" w:rsidP="00A33E0A">
      <w:pPr>
        <w:jc w:val="both"/>
        <w:rPr>
          <w:b/>
          <w:bCs/>
        </w:rPr>
      </w:pPr>
      <w:r w:rsidRPr="00595282">
        <w:rPr>
          <w:b/>
          <w:bCs/>
        </w:rPr>
        <w:t>Governing Body</w:t>
      </w:r>
    </w:p>
    <w:p w14:paraId="6699FA20" w14:textId="1060F5B8" w:rsidR="00AB2F63" w:rsidRDefault="00F86400" w:rsidP="00A33E0A">
      <w:pPr>
        <w:jc w:val="both"/>
      </w:pPr>
      <w:r>
        <w:t>The Governing Body</w:t>
      </w:r>
      <w:r w:rsidR="00FD1560">
        <w:t xml:space="preserve"> has responsibility to ensure the school </w:t>
      </w:r>
      <w:r w:rsidR="00D4392B">
        <w:t>complies with all aspects of the statutory guidance</w:t>
      </w:r>
      <w:r w:rsidR="00310EE5">
        <w:rPr>
          <w:rStyle w:val="FootnoteReference"/>
        </w:rPr>
        <w:footnoteReference w:id="4"/>
      </w:r>
      <w:r w:rsidR="007F4194">
        <w:t>.</w:t>
      </w:r>
      <w:r w:rsidR="00791B0A">
        <w:t xml:space="preserve"> </w:t>
      </w:r>
      <w:r w:rsidR="0078588D">
        <w:t xml:space="preserve">Prior to an </w:t>
      </w:r>
      <w:r w:rsidR="00C526A8">
        <w:t>EC</w:t>
      </w:r>
      <w:r w:rsidR="0078588D">
        <w:t xml:space="preserve">T being employed </w:t>
      </w:r>
      <w:r w:rsidR="005F0E71">
        <w:t>t</w:t>
      </w:r>
      <w:r w:rsidR="00B608C3">
        <w:t>he Governing Body</w:t>
      </w:r>
      <w:r w:rsidR="00E91461">
        <w:t xml:space="preserve"> </w:t>
      </w:r>
      <w:r w:rsidR="00D14A61">
        <w:t>will</w:t>
      </w:r>
      <w:r w:rsidR="00E91461">
        <w:t xml:space="preserve"> </w:t>
      </w:r>
      <w:r w:rsidR="00574A3C">
        <w:t xml:space="preserve">carefully </w:t>
      </w:r>
      <w:r w:rsidR="00791B0A">
        <w:t>consider the school</w:t>
      </w:r>
      <w:r w:rsidR="00FF7807">
        <w:t>’</w:t>
      </w:r>
      <w:r w:rsidR="00C50C2A">
        <w:t>s</w:t>
      </w:r>
      <w:r w:rsidR="005E6A81">
        <w:t xml:space="preserve"> capacity</w:t>
      </w:r>
      <w:r w:rsidR="005D2507">
        <w:t xml:space="preserve"> to fulfil its obligations</w:t>
      </w:r>
      <w:r w:rsidR="00574A3C">
        <w:t xml:space="preserve"> towards </w:t>
      </w:r>
      <w:r w:rsidR="0018522D">
        <w:t>each</w:t>
      </w:r>
      <w:r w:rsidR="00574A3C">
        <w:t xml:space="preserve"> </w:t>
      </w:r>
      <w:r w:rsidR="0018522D">
        <w:t>EC</w:t>
      </w:r>
      <w:r w:rsidR="00574A3C">
        <w:t>T</w:t>
      </w:r>
      <w:r w:rsidR="00901E07">
        <w:t>.</w:t>
      </w:r>
      <w:r w:rsidR="009E5B0B">
        <w:t xml:space="preserve"> The </w:t>
      </w:r>
      <w:r w:rsidR="00082963">
        <w:t xml:space="preserve">Governing Body </w:t>
      </w:r>
      <w:r w:rsidR="00901E07">
        <w:t>will</w:t>
      </w:r>
      <w:r w:rsidR="00082963">
        <w:t xml:space="preserve"> be kept informed of </w:t>
      </w:r>
      <w:r w:rsidR="00091174">
        <w:t>induction arrangements and outcomes of formal reports.</w:t>
      </w:r>
    </w:p>
    <w:p w14:paraId="3C1D828E" w14:textId="77777777" w:rsidR="009A242C" w:rsidRDefault="009A242C" w:rsidP="00A33E0A">
      <w:pPr>
        <w:jc w:val="both"/>
      </w:pPr>
    </w:p>
    <w:p w14:paraId="4A4F95B1" w14:textId="097507E5" w:rsidR="00201BC1" w:rsidRDefault="009A242C" w:rsidP="00A33E0A">
      <w:pPr>
        <w:jc w:val="both"/>
      </w:pPr>
      <w:r>
        <w:t xml:space="preserve">The </w:t>
      </w:r>
      <w:r w:rsidR="00201BC1">
        <w:t>G</w:t>
      </w:r>
      <w:r>
        <w:t>overn</w:t>
      </w:r>
      <w:r w:rsidR="00201BC1">
        <w:t xml:space="preserve">ing Body is </w:t>
      </w:r>
      <w:r w:rsidR="00667131">
        <w:t>responsible for</w:t>
      </w:r>
      <w:r>
        <w:t xml:space="preserve"> </w:t>
      </w:r>
      <w:r w:rsidR="00201BC1">
        <w:t xml:space="preserve">- </w:t>
      </w:r>
    </w:p>
    <w:p w14:paraId="42B8517F" w14:textId="480912CB" w:rsidR="00201BC1" w:rsidRDefault="00201BC1" w:rsidP="00132D7D">
      <w:pPr>
        <w:pStyle w:val="ListParagraph"/>
        <w:numPr>
          <w:ilvl w:val="0"/>
          <w:numId w:val="19"/>
        </w:numPr>
        <w:jc w:val="both"/>
      </w:pPr>
      <w:r>
        <w:t>Ensuring staff and the school are compliant with this policy and all relevant guidance.</w:t>
      </w:r>
    </w:p>
    <w:p w14:paraId="341B4F34" w14:textId="1890EFDC" w:rsidR="00201BC1" w:rsidRDefault="00201BC1" w:rsidP="00132D7D">
      <w:pPr>
        <w:pStyle w:val="ListParagraph"/>
        <w:numPr>
          <w:ilvl w:val="0"/>
          <w:numId w:val="19"/>
        </w:numPr>
        <w:jc w:val="both"/>
      </w:pPr>
      <w:r>
        <w:t>Ensuring the school has the capacity to support the ECT.</w:t>
      </w:r>
    </w:p>
    <w:p w14:paraId="16BA551C" w14:textId="0F7F5391" w:rsidR="00201BC1" w:rsidRDefault="00201BC1" w:rsidP="00132D7D">
      <w:pPr>
        <w:pStyle w:val="ListParagraph"/>
        <w:numPr>
          <w:ilvl w:val="0"/>
          <w:numId w:val="19"/>
        </w:numPr>
        <w:jc w:val="both"/>
      </w:pPr>
      <w:r>
        <w:t xml:space="preserve">Ensuring the </w:t>
      </w:r>
      <w:r w:rsidR="00264DEA">
        <w:t>H</w:t>
      </w:r>
      <w:r>
        <w:t>eadteacher is fulfilling their responsibilities.</w:t>
      </w:r>
    </w:p>
    <w:p w14:paraId="055FD723" w14:textId="2AC4C50A" w:rsidR="00201BC1" w:rsidRDefault="00201BC1" w:rsidP="00132D7D">
      <w:pPr>
        <w:pStyle w:val="ListParagraph"/>
        <w:numPr>
          <w:ilvl w:val="0"/>
          <w:numId w:val="19"/>
        </w:numPr>
        <w:jc w:val="both"/>
      </w:pPr>
      <w:r>
        <w:t xml:space="preserve">Investigating </w:t>
      </w:r>
      <w:r w:rsidR="00264DEA">
        <w:t xml:space="preserve">any </w:t>
      </w:r>
      <w:r>
        <w:t>concerns raised by an ECT as part of the school’s</w:t>
      </w:r>
      <w:r w:rsidR="00264DEA">
        <w:t xml:space="preserve"> normal processes</w:t>
      </w:r>
      <w:r>
        <w:t>.</w:t>
      </w:r>
    </w:p>
    <w:p w14:paraId="7C0D1327" w14:textId="05BEF299" w:rsidR="00201BC1" w:rsidRDefault="00201BC1" w:rsidP="00132D7D">
      <w:pPr>
        <w:pStyle w:val="ListParagraph"/>
        <w:numPr>
          <w:ilvl w:val="0"/>
          <w:numId w:val="19"/>
        </w:numPr>
        <w:jc w:val="both"/>
      </w:pPr>
      <w:r>
        <w:t>Asking for</w:t>
      </w:r>
      <w:r w:rsidR="00DF3E14">
        <w:t xml:space="preserve"> </w:t>
      </w:r>
      <w:r>
        <w:t xml:space="preserve">advice from the appropriate body on the school’s induction procedures </w:t>
      </w:r>
      <w:r w:rsidR="00C07C1A">
        <w:t xml:space="preserve">  </w:t>
      </w:r>
      <w:r>
        <w:t>and the responsibilities of staff involved in the process.</w:t>
      </w:r>
    </w:p>
    <w:p w14:paraId="36D03A76" w14:textId="6B7AD121" w:rsidR="00CC1332" w:rsidRDefault="00201BC1" w:rsidP="00132D7D">
      <w:pPr>
        <w:pStyle w:val="ListParagraph"/>
        <w:numPr>
          <w:ilvl w:val="0"/>
          <w:numId w:val="19"/>
        </w:numPr>
        <w:jc w:val="both"/>
      </w:pPr>
      <w:r>
        <w:t>Requesting general reports from the induction tutors on the progress of an ECT.</w:t>
      </w:r>
      <w:r>
        <w:cr/>
      </w:r>
    </w:p>
    <w:p w14:paraId="6D5FA066" w14:textId="766BF390" w:rsidR="006C5BCA" w:rsidRPr="00F472DB" w:rsidRDefault="006C5BCA" w:rsidP="00A33E0A">
      <w:pPr>
        <w:jc w:val="both"/>
        <w:rPr>
          <w:b/>
          <w:bCs/>
        </w:rPr>
      </w:pPr>
      <w:r w:rsidRPr="00F472DB">
        <w:rPr>
          <w:b/>
          <w:bCs/>
        </w:rPr>
        <w:t>He</w:t>
      </w:r>
      <w:r w:rsidR="00C84445" w:rsidRPr="00F472DB">
        <w:rPr>
          <w:b/>
          <w:bCs/>
        </w:rPr>
        <w:t>adteacher/</w:t>
      </w:r>
      <w:r w:rsidR="00264DEA">
        <w:rPr>
          <w:b/>
          <w:bCs/>
        </w:rPr>
        <w:t>P</w:t>
      </w:r>
      <w:r w:rsidR="00C84445" w:rsidRPr="00F472DB">
        <w:rPr>
          <w:b/>
          <w:bCs/>
        </w:rPr>
        <w:t>rincipal</w:t>
      </w:r>
    </w:p>
    <w:p w14:paraId="0899599A" w14:textId="0EA0F904" w:rsidR="00982C66" w:rsidRDefault="00845310" w:rsidP="00A33E0A">
      <w:pPr>
        <w:jc w:val="both"/>
      </w:pPr>
      <w:r>
        <w:t xml:space="preserve">The </w:t>
      </w:r>
      <w:r w:rsidR="00264DEA">
        <w:t>H</w:t>
      </w:r>
      <w:r w:rsidR="00751A77">
        <w:t>eadteacher/</w:t>
      </w:r>
      <w:r w:rsidR="00264DEA">
        <w:t>P</w:t>
      </w:r>
      <w:r w:rsidR="00751A77">
        <w:t xml:space="preserve">rincipal has a significant role </w:t>
      </w:r>
      <w:r w:rsidR="0098189B">
        <w:t>in the statutory induction process</w:t>
      </w:r>
      <w:r w:rsidR="002E205C">
        <w:t xml:space="preserve"> </w:t>
      </w:r>
      <w:r w:rsidR="00E831A7">
        <w:t>an</w:t>
      </w:r>
      <w:r w:rsidR="00240C0F">
        <w:t>d</w:t>
      </w:r>
      <w:r w:rsidR="00E831A7">
        <w:t xml:space="preserve"> will</w:t>
      </w:r>
      <w:r w:rsidR="001E5135">
        <w:t>:</w:t>
      </w:r>
    </w:p>
    <w:p w14:paraId="7E0F15D3" w14:textId="77777777" w:rsidR="00F23500" w:rsidRDefault="00F23500" w:rsidP="00132D7D">
      <w:pPr>
        <w:pStyle w:val="ListParagraph"/>
        <w:numPr>
          <w:ilvl w:val="0"/>
          <w:numId w:val="16"/>
        </w:numPr>
        <w:jc w:val="both"/>
      </w:pPr>
      <w:r>
        <w:t xml:space="preserve">ensure all ECTs are registered with </w:t>
      </w:r>
      <w:r w:rsidR="00275199">
        <w:t>an</w:t>
      </w:r>
      <w:r>
        <w:t xml:space="preserve"> Appropriate Body</w:t>
      </w:r>
    </w:p>
    <w:p w14:paraId="23C5384A" w14:textId="77777777" w:rsidR="0018522D" w:rsidRDefault="004B7C70" w:rsidP="00132D7D">
      <w:pPr>
        <w:pStyle w:val="ListParagraph"/>
        <w:numPr>
          <w:ilvl w:val="0"/>
          <w:numId w:val="16"/>
        </w:numPr>
        <w:jc w:val="both"/>
      </w:pPr>
      <w:r>
        <w:t>work closely with the Appropriate Body throughout the statutory induction period</w:t>
      </w:r>
      <w:r w:rsidR="00275199">
        <w:t>, including quality assurance processes and any necessary fidelity checks</w:t>
      </w:r>
    </w:p>
    <w:p w14:paraId="600D3371" w14:textId="77777777" w:rsidR="00846F4D" w:rsidRDefault="00846F4D" w:rsidP="00132D7D">
      <w:pPr>
        <w:pStyle w:val="ListParagraph"/>
        <w:numPr>
          <w:ilvl w:val="0"/>
          <w:numId w:val="16"/>
        </w:numPr>
        <w:jc w:val="both"/>
      </w:pPr>
      <w:r>
        <w:t>ensure an appropriate ECF-based induction programme is in place</w:t>
      </w:r>
    </w:p>
    <w:p w14:paraId="757B579B" w14:textId="507DD20A" w:rsidR="002F079E" w:rsidRDefault="006D4042" w:rsidP="00132D7D">
      <w:pPr>
        <w:pStyle w:val="ListParagraph"/>
        <w:numPr>
          <w:ilvl w:val="0"/>
          <w:numId w:val="16"/>
        </w:numPr>
        <w:jc w:val="both"/>
      </w:pPr>
      <w:r>
        <w:t xml:space="preserve">appoint </w:t>
      </w:r>
      <w:r w:rsidR="00862321">
        <w:t xml:space="preserve">an induction tutor who has </w:t>
      </w:r>
      <w:r w:rsidR="00CD3532">
        <w:t>qualified teacher status</w:t>
      </w:r>
      <w:r w:rsidR="003866AA">
        <w:t xml:space="preserve">, the </w:t>
      </w:r>
      <w:r w:rsidR="00D05930">
        <w:t>time</w:t>
      </w:r>
      <w:r w:rsidR="003866AA">
        <w:t xml:space="preserve"> and skills to undertake the role</w:t>
      </w:r>
      <w:r w:rsidR="00633169">
        <w:t>,</w:t>
      </w:r>
      <w:r w:rsidR="003866AA">
        <w:t xml:space="preserve"> and </w:t>
      </w:r>
      <w:r w:rsidR="008B5994">
        <w:t>is appropriately trained</w:t>
      </w:r>
    </w:p>
    <w:p w14:paraId="17DCC22F" w14:textId="6C6550D7" w:rsidR="00F741F8" w:rsidRDefault="00F741F8" w:rsidP="00132D7D">
      <w:pPr>
        <w:pStyle w:val="ListParagraph"/>
        <w:numPr>
          <w:ilvl w:val="0"/>
          <w:numId w:val="16"/>
        </w:numPr>
        <w:jc w:val="both"/>
      </w:pPr>
      <w:r>
        <w:t>ap</w:t>
      </w:r>
      <w:r w:rsidR="00264DEA">
        <w:t>p</w:t>
      </w:r>
      <w:r>
        <w:t xml:space="preserve">oint a dedicated </w:t>
      </w:r>
      <w:r w:rsidR="00DA3AB0">
        <w:t>ECF</w:t>
      </w:r>
      <w:r>
        <w:t xml:space="preserve"> mentor who has qualified teacher status, the </w:t>
      </w:r>
      <w:r w:rsidR="00D05930">
        <w:t>time</w:t>
      </w:r>
      <w:r>
        <w:t xml:space="preserve"> and skills to undertake the role, and is appropriately traine</w:t>
      </w:r>
      <w:r w:rsidR="008869F4">
        <w:t>d</w:t>
      </w:r>
    </w:p>
    <w:p w14:paraId="0B1235B5" w14:textId="77777777" w:rsidR="00E85000" w:rsidRDefault="001E69AA" w:rsidP="00132D7D">
      <w:pPr>
        <w:pStyle w:val="ListParagraph"/>
        <w:numPr>
          <w:ilvl w:val="0"/>
          <w:numId w:val="16"/>
        </w:numPr>
        <w:jc w:val="both"/>
      </w:pPr>
      <w:r>
        <w:t xml:space="preserve">ensure </w:t>
      </w:r>
      <w:r w:rsidR="00ED3F03">
        <w:t xml:space="preserve">an appropriate, </w:t>
      </w:r>
      <w:r w:rsidR="00343341">
        <w:t>pre-planned</w:t>
      </w:r>
      <w:r w:rsidR="00ED3F03">
        <w:t xml:space="preserve"> induction programme is </w:t>
      </w:r>
      <w:r w:rsidR="00800498">
        <w:t>drawn</w:t>
      </w:r>
      <w:r w:rsidR="00654912">
        <w:t xml:space="preserve"> up</w:t>
      </w:r>
      <w:r w:rsidR="00343341">
        <w:t xml:space="preserve"> by the induction tutor and ECT</w:t>
      </w:r>
    </w:p>
    <w:p w14:paraId="54A30FCF" w14:textId="77777777" w:rsidR="00350A44" w:rsidRDefault="00350A44" w:rsidP="00132D7D">
      <w:pPr>
        <w:pStyle w:val="ListParagraph"/>
        <w:numPr>
          <w:ilvl w:val="0"/>
          <w:numId w:val="16"/>
        </w:numPr>
        <w:jc w:val="both"/>
      </w:pPr>
      <w:r>
        <w:t xml:space="preserve">ensure the ECT </w:t>
      </w:r>
      <w:r w:rsidR="004D5408">
        <w:t>is provided with all statutory entitlements</w:t>
      </w:r>
    </w:p>
    <w:p w14:paraId="0EA254BD" w14:textId="182A64BC" w:rsidR="006D2E9E" w:rsidRDefault="006D2E9E" w:rsidP="00132D7D">
      <w:pPr>
        <w:pStyle w:val="ListParagraph"/>
        <w:numPr>
          <w:ilvl w:val="0"/>
          <w:numId w:val="16"/>
        </w:numPr>
        <w:jc w:val="both"/>
      </w:pPr>
      <w:r>
        <w:t xml:space="preserve">ensure the </w:t>
      </w:r>
      <w:r w:rsidR="004307BE">
        <w:t>EC</w:t>
      </w:r>
      <w:r>
        <w:t>T has a suitable role</w:t>
      </w:r>
      <w:r w:rsidR="00800498">
        <w:t xml:space="preserve"> </w:t>
      </w:r>
      <w:r w:rsidR="009A3B70">
        <w:t>to undertake induction</w:t>
      </w:r>
      <w:r w:rsidR="00275199">
        <w:t xml:space="preserve"> as in paragraph 2.17</w:t>
      </w:r>
      <w:r w:rsidR="00D05930">
        <w:rPr>
          <w:rStyle w:val="FootnoteReference"/>
        </w:rPr>
        <w:footnoteReference w:id="5"/>
      </w:r>
      <w:r w:rsidR="00275199">
        <w:t xml:space="preserve"> of the statutory guidance</w:t>
      </w:r>
    </w:p>
    <w:p w14:paraId="049996A7" w14:textId="77777777" w:rsidR="004307BE" w:rsidRDefault="004307BE" w:rsidP="00132D7D">
      <w:pPr>
        <w:pStyle w:val="ListParagraph"/>
        <w:numPr>
          <w:ilvl w:val="0"/>
          <w:numId w:val="16"/>
        </w:numPr>
        <w:jc w:val="both"/>
      </w:pPr>
      <w:r>
        <w:t xml:space="preserve">ensure </w:t>
      </w:r>
      <w:r w:rsidR="00C67461">
        <w:t xml:space="preserve">assessment and monitoring is carried out </w:t>
      </w:r>
      <w:r w:rsidR="00275199">
        <w:t xml:space="preserve">and </w:t>
      </w:r>
      <w:r w:rsidR="00C67461">
        <w:t xml:space="preserve">evidence </w:t>
      </w:r>
      <w:r w:rsidR="00847A2A">
        <w:t>of progress towards meeting the Teachers’ Standards is recorde</w:t>
      </w:r>
      <w:r w:rsidR="00275199">
        <w:t>d</w:t>
      </w:r>
      <w:r w:rsidR="00847A2A">
        <w:t xml:space="preserve"> in</w:t>
      </w:r>
      <w:r w:rsidR="00C67461">
        <w:t xml:space="preserve"> </w:t>
      </w:r>
      <w:r>
        <w:t>professional reviews, progress reviews and assessment reports</w:t>
      </w:r>
    </w:p>
    <w:p w14:paraId="13353CCB" w14:textId="77777777" w:rsidR="00932BEC" w:rsidRDefault="00932BEC" w:rsidP="00132D7D">
      <w:pPr>
        <w:pStyle w:val="ListParagraph"/>
        <w:numPr>
          <w:ilvl w:val="0"/>
          <w:numId w:val="16"/>
        </w:numPr>
        <w:jc w:val="both"/>
      </w:pPr>
      <w:r>
        <w:t xml:space="preserve">ensure </w:t>
      </w:r>
      <w:r w:rsidR="00CB5218">
        <w:t>th</w:t>
      </w:r>
      <w:r w:rsidR="00054863">
        <w:t>e</w:t>
      </w:r>
      <w:r w:rsidR="00CB5218">
        <w:t xml:space="preserve"> </w:t>
      </w:r>
      <w:r w:rsidR="00054863">
        <w:t xml:space="preserve">ECT is </w:t>
      </w:r>
      <w:r w:rsidR="003A227A">
        <w:t xml:space="preserve">made </w:t>
      </w:r>
      <w:r w:rsidR="00054863">
        <w:t>aware</w:t>
      </w:r>
      <w:r w:rsidR="003A227A">
        <w:t xml:space="preserve"> (in writing)</w:t>
      </w:r>
      <w:r w:rsidR="00054863">
        <w:t xml:space="preserve">, at any point during induction they are </w:t>
      </w:r>
      <w:r w:rsidR="0066554B">
        <w:t xml:space="preserve">deemed </w:t>
      </w:r>
      <w:r w:rsidR="00A360E5">
        <w:t>‘</w:t>
      </w:r>
      <w:r w:rsidR="0066554B">
        <w:t>not on track</w:t>
      </w:r>
      <w:r w:rsidR="00A360E5">
        <w:t>’</w:t>
      </w:r>
      <w:r w:rsidR="0066554B">
        <w:t xml:space="preserve"> to </w:t>
      </w:r>
      <w:r w:rsidR="00B919DE">
        <w:t>meet all the Teachers’ Standards by the end of the statutory induction period</w:t>
      </w:r>
    </w:p>
    <w:p w14:paraId="7C69ED17" w14:textId="06025D57" w:rsidR="00B919DE" w:rsidRDefault="00B919DE" w:rsidP="00132D7D">
      <w:pPr>
        <w:pStyle w:val="ListParagraph"/>
        <w:numPr>
          <w:ilvl w:val="0"/>
          <w:numId w:val="16"/>
        </w:numPr>
        <w:jc w:val="both"/>
      </w:pPr>
      <w:r>
        <w:lastRenderedPageBreak/>
        <w:t xml:space="preserve">ensure the Appropriate Body is </w:t>
      </w:r>
      <w:r w:rsidR="003A227A">
        <w:t>contacted</w:t>
      </w:r>
      <w:r>
        <w:t xml:space="preserve"> at any point during induction</w:t>
      </w:r>
      <w:r w:rsidR="003A227A">
        <w:t xml:space="preserve"> </w:t>
      </w:r>
      <w:r w:rsidR="00A360E5">
        <w:t>the</w:t>
      </w:r>
      <w:r>
        <w:t xml:space="preserve"> </w:t>
      </w:r>
      <w:r w:rsidR="00A360E5">
        <w:t>ECT is</w:t>
      </w:r>
      <w:r>
        <w:t xml:space="preserve"> deemed </w:t>
      </w:r>
      <w:r w:rsidR="00A360E5">
        <w:t>‘</w:t>
      </w:r>
      <w:r>
        <w:t>not on track</w:t>
      </w:r>
      <w:r w:rsidR="00A360E5">
        <w:t>’</w:t>
      </w:r>
      <w:r>
        <w:t xml:space="preserve"> to meet all the Teachers’ Standards by the end of the statutory induction period</w:t>
      </w:r>
    </w:p>
    <w:p w14:paraId="06B99826" w14:textId="77777777" w:rsidR="00957B82" w:rsidRDefault="00517DB6" w:rsidP="00132D7D">
      <w:pPr>
        <w:pStyle w:val="ListParagraph"/>
        <w:numPr>
          <w:ilvl w:val="0"/>
          <w:numId w:val="16"/>
        </w:numPr>
        <w:jc w:val="both"/>
      </w:pPr>
      <w:r>
        <w:t xml:space="preserve">ensure a support plan is put in place for any ECT deemed ‘not on track’ </w:t>
      </w:r>
      <w:r w:rsidR="009A6B55">
        <w:t>in order to bring them back on track</w:t>
      </w:r>
    </w:p>
    <w:p w14:paraId="190EA8F9" w14:textId="77777777" w:rsidR="00B919DE" w:rsidRDefault="00957B82" w:rsidP="00132D7D">
      <w:pPr>
        <w:pStyle w:val="ListParagraph"/>
        <w:numPr>
          <w:ilvl w:val="0"/>
          <w:numId w:val="16"/>
        </w:numPr>
        <w:jc w:val="both"/>
      </w:pPr>
      <w:r>
        <w:t xml:space="preserve">ensure the </w:t>
      </w:r>
      <w:r w:rsidR="002349D5">
        <w:t xml:space="preserve">support plan </w:t>
      </w:r>
      <w:r>
        <w:t xml:space="preserve">is </w:t>
      </w:r>
      <w:r w:rsidR="002349D5">
        <w:t>shared with the Appropriate Body</w:t>
      </w:r>
      <w:r>
        <w:t xml:space="preserve"> and work with them</w:t>
      </w:r>
      <w:r w:rsidR="0059400A">
        <w:t xml:space="preserve"> to bring the ECT back on track</w:t>
      </w:r>
    </w:p>
    <w:p w14:paraId="627510A7" w14:textId="05DB4457" w:rsidR="00E21031" w:rsidRDefault="00482614" w:rsidP="00132D7D">
      <w:pPr>
        <w:pStyle w:val="ListParagraph"/>
        <w:numPr>
          <w:ilvl w:val="0"/>
          <w:numId w:val="16"/>
        </w:numPr>
        <w:jc w:val="both"/>
      </w:pPr>
      <w:r>
        <w:t>make</w:t>
      </w:r>
      <w:r w:rsidR="00E1382C">
        <w:t xml:space="preserve"> a final </w:t>
      </w:r>
      <w:r w:rsidR="00702898">
        <w:t xml:space="preserve">recommendation to the Appropriate Body </w:t>
      </w:r>
      <w:r w:rsidR="00D42393">
        <w:t xml:space="preserve">as to </w:t>
      </w:r>
      <w:r w:rsidR="004631F5">
        <w:t>whether</w:t>
      </w:r>
      <w:r w:rsidR="00D42393">
        <w:t xml:space="preserve"> </w:t>
      </w:r>
      <w:r w:rsidR="00747B4D">
        <w:t xml:space="preserve">the </w:t>
      </w:r>
      <w:r w:rsidR="00FC73D6">
        <w:t>ECT</w:t>
      </w:r>
      <w:r w:rsidR="00747B4D">
        <w:t xml:space="preserve"> has satisfactorily met all the Teachers’ Standards</w:t>
      </w:r>
      <w:r w:rsidR="00BF64F7">
        <w:t>, ‘consistently over a sustained period</w:t>
      </w:r>
      <w:r w:rsidR="00870AE0">
        <w:t>’</w:t>
      </w:r>
      <w:r w:rsidR="00275199">
        <w:t xml:space="preserve"> statutory guidance, </w:t>
      </w:r>
      <w:r w:rsidR="00870AE0">
        <w:t>and should pass</w:t>
      </w:r>
      <w:r w:rsidR="00C7233C">
        <w:t xml:space="preserve"> </w:t>
      </w:r>
      <w:r w:rsidR="00870AE0">
        <w:t>their induction period</w:t>
      </w:r>
    </w:p>
    <w:p w14:paraId="400CB959" w14:textId="77777777" w:rsidR="00073E91" w:rsidRDefault="00D3722F" w:rsidP="00132D7D">
      <w:pPr>
        <w:pStyle w:val="ListParagraph"/>
        <w:numPr>
          <w:ilvl w:val="0"/>
          <w:numId w:val="16"/>
        </w:numPr>
        <w:jc w:val="both"/>
      </w:pPr>
      <w:r>
        <w:t>k</w:t>
      </w:r>
      <w:r w:rsidR="00FE0ADA">
        <w:t>eep the governors</w:t>
      </w:r>
      <w:r>
        <w:t xml:space="preserve"> informed about induction arrangements </w:t>
      </w:r>
      <w:r w:rsidR="00487D7E">
        <w:t xml:space="preserve">for </w:t>
      </w:r>
      <w:r w:rsidR="00FC73D6">
        <w:t>EC</w:t>
      </w:r>
      <w:r w:rsidR="00487D7E">
        <w:t>Ts in the school</w:t>
      </w:r>
      <w:r w:rsidR="00275199">
        <w:t>.</w:t>
      </w:r>
    </w:p>
    <w:p w14:paraId="432F6DA3" w14:textId="77777777" w:rsidR="00275199" w:rsidRDefault="00275199" w:rsidP="00A33E0A">
      <w:pPr>
        <w:pStyle w:val="ListParagraph"/>
        <w:ind w:left="360"/>
        <w:jc w:val="both"/>
      </w:pPr>
    </w:p>
    <w:p w14:paraId="0D8DEC0C" w14:textId="5F8FACA0" w:rsidR="008E1518" w:rsidRPr="0036215A" w:rsidRDefault="00770009" w:rsidP="00A33E0A">
      <w:pPr>
        <w:jc w:val="both"/>
        <w:rPr>
          <w:rFonts w:cs="Arial"/>
          <w:b/>
          <w:bCs/>
          <w:i/>
          <w:szCs w:val="24"/>
        </w:rPr>
      </w:pPr>
      <w:r w:rsidRPr="0036215A">
        <w:rPr>
          <w:rFonts w:cs="Arial"/>
          <w:b/>
          <w:bCs/>
          <w:i/>
          <w:szCs w:val="24"/>
        </w:rPr>
        <w:t>[</w:t>
      </w:r>
      <w:r w:rsidR="008E1518" w:rsidRPr="0036215A">
        <w:rPr>
          <w:rFonts w:cs="Arial"/>
          <w:b/>
          <w:bCs/>
          <w:i/>
          <w:szCs w:val="24"/>
        </w:rPr>
        <w:t>Induction lead/Professional tutor – relevant in schools with a large number of ECTs</w:t>
      </w:r>
      <w:r w:rsidR="004147AC">
        <w:rPr>
          <w:rFonts w:cs="Arial"/>
          <w:b/>
          <w:bCs/>
          <w:i/>
          <w:szCs w:val="24"/>
        </w:rPr>
        <w:t xml:space="preserve"> or any school/setting that chooses to appoint to the role</w:t>
      </w:r>
      <w:r w:rsidR="002A304F">
        <w:rPr>
          <w:rFonts w:cs="Arial"/>
          <w:b/>
          <w:bCs/>
          <w:i/>
          <w:szCs w:val="24"/>
        </w:rPr>
        <w:t>]</w:t>
      </w:r>
    </w:p>
    <w:p w14:paraId="18A53612" w14:textId="4796BC4D" w:rsidR="008E1518" w:rsidRPr="0036215A" w:rsidRDefault="008E1518" w:rsidP="00A33E0A">
      <w:pPr>
        <w:jc w:val="both"/>
        <w:rPr>
          <w:rFonts w:cs="Arial"/>
          <w:b/>
          <w:bCs/>
          <w:i/>
          <w:szCs w:val="24"/>
        </w:rPr>
      </w:pPr>
      <w:r w:rsidRPr="0036215A">
        <w:rPr>
          <w:rFonts w:cs="Arial"/>
          <w:i/>
          <w:szCs w:val="24"/>
        </w:rPr>
        <w:t>The induction lead/professional tutor ensure</w:t>
      </w:r>
      <w:r w:rsidR="004147AC">
        <w:rPr>
          <w:rFonts w:cs="Arial"/>
          <w:i/>
          <w:szCs w:val="24"/>
        </w:rPr>
        <w:t>s</w:t>
      </w:r>
      <w:r w:rsidRPr="0036215A">
        <w:rPr>
          <w:rFonts w:cs="Arial"/>
          <w:i/>
          <w:szCs w:val="24"/>
        </w:rPr>
        <w:t xml:space="preserve"> that induction tutors and mentors are fulfilling their role and provide</w:t>
      </w:r>
      <w:r w:rsidR="00770009" w:rsidRPr="0036215A">
        <w:rPr>
          <w:rFonts w:cs="Arial"/>
          <w:i/>
          <w:szCs w:val="24"/>
        </w:rPr>
        <w:t>s</w:t>
      </w:r>
      <w:r w:rsidRPr="0036215A">
        <w:rPr>
          <w:rFonts w:cs="Arial"/>
          <w:i/>
          <w:szCs w:val="24"/>
        </w:rPr>
        <w:t xml:space="preserve"> support to them.  </w:t>
      </w:r>
    </w:p>
    <w:p w14:paraId="1517FC60" w14:textId="77777777" w:rsidR="008E1518" w:rsidRPr="0036215A" w:rsidRDefault="008E1518" w:rsidP="00A33E0A">
      <w:pPr>
        <w:jc w:val="both"/>
        <w:rPr>
          <w:rFonts w:cs="Arial"/>
          <w:b/>
          <w:bCs/>
          <w:i/>
          <w:szCs w:val="24"/>
        </w:rPr>
      </w:pPr>
    </w:p>
    <w:p w14:paraId="5439AC51" w14:textId="47D97760" w:rsidR="003F4E58" w:rsidRPr="0036215A" w:rsidRDefault="008E1518" w:rsidP="00A33E0A">
      <w:pPr>
        <w:jc w:val="both"/>
        <w:rPr>
          <w:i/>
        </w:rPr>
      </w:pPr>
      <w:r w:rsidRPr="0036215A">
        <w:rPr>
          <w:i/>
        </w:rPr>
        <w:t>The induction lead/professional tutor will</w:t>
      </w:r>
      <w:r w:rsidR="008869F4">
        <w:rPr>
          <w:i/>
        </w:rPr>
        <w:t>;</w:t>
      </w:r>
    </w:p>
    <w:p w14:paraId="4394772B" w14:textId="77777777" w:rsidR="003F4E58" w:rsidRPr="0036215A" w:rsidRDefault="008E1518" w:rsidP="00A33E0A">
      <w:pPr>
        <w:pStyle w:val="ListParagraph"/>
        <w:numPr>
          <w:ilvl w:val="0"/>
          <w:numId w:val="4"/>
        </w:numPr>
        <w:jc w:val="both"/>
        <w:rPr>
          <w:i/>
        </w:rPr>
      </w:pPr>
      <w:r w:rsidRPr="0036215A">
        <w:rPr>
          <w:rFonts w:cs="Arial"/>
          <w:i/>
          <w:szCs w:val="24"/>
        </w:rPr>
        <w:t xml:space="preserve">ensure </w:t>
      </w:r>
      <w:r w:rsidR="003F4E58" w:rsidRPr="0036215A">
        <w:rPr>
          <w:rFonts w:cs="Arial"/>
          <w:i/>
          <w:szCs w:val="24"/>
        </w:rPr>
        <w:t>induction tutors and mentors</w:t>
      </w:r>
      <w:r w:rsidRPr="0036215A">
        <w:rPr>
          <w:rFonts w:cs="Arial"/>
          <w:i/>
          <w:szCs w:val="24"/>
        </w:rPr>
        <w:t xml:space="preserve"> are aware of their responsibilities </w:t>
      </w:r>
    </w:p>
    <w:p w14:paraId="31AC7AFF" w14:textId="7C5EB4C9" w:rsidR="00770009" w:rsidRPr="0036215A" w:rsidRDefault="003F4E58" w:rsidP="00A33E0A">
      <w:pPr>
        <w:pStyle w:val="ListParagraph"/>
        <w:numPr>
          <w:ilvl w:val="0"/>
          <w:numId w:val="4"/>
        </w:numPr>
        <w:jc w:val="both"/>
        <w:rPr>
          <w:i/>
        </w:rPr>
      </w:pPr>
      <w:r w:rsidRPr="0036215A">
        <w:rPr>
          <w:rFonts w:cs="Arial"/>
          <w:i/>
          <w:szCs w:val="24"/>
        </w:rPr>
        <w:t>ensure</w:t>
      </w:r>
      <w:r w:rsidR="008E1518" w:rsidRPr="0036215A">
        <w:rPr>
          <w:rFonts w:cs="Arial"/>
          <w:i/>
          <w:szCs w:val="24"/>
        </w:rPr>
        <w:t xml:space="preserve"> key milestones and processes throughout the year </w:t>
      </w:r>
      <w:r w:rsidRPr="0036215A">
        <w:rPr>
          <w:rFonts w:cs="Arial"/>
          <w:i/>
          <w:szCs w:val="24"/>
        </w:rPr>
        <w:t xml:space="preserve">are planned </w:t>
      </w:r>
      <w:r w:rsidR="004147AC">
        <w:rPr>
          <w:rFonts w:cs="Arial"/>
          <w:i/>
          <w:szCs w:val="24"/>
        </w:rPr>
        <w:t>for</w:t>
      </w:r>
      <w:r w:rsidRPr="0036215A">
        <w:rPr>
          <w:rFonts w:cs="Arial"/>
          <w:i/>
          <w:szCs w:val="24"/>
        </w:rPr>
        <w:t xml:space="preserve"> </w:t>
      </w:r>
      <w:r w:rsidR="00770009" w:rsidRPr="0036215A">
        <w:rPr>
          <w:rFonts w:cs="Arial"/>
          <w:i/>
          <w:szCs w:val="24"/>
        </w:rPr>
        <w:t>and executed</w:t>
      </w:r>
      <w:r w:rsidR="008E1518" w:rsidRPr="0036215A">
        <w:rPr>
          <w:rFonts w:cs="Arial"/>
          <w:i/>
          <w:szCs w:val="24"/>
        </w:rPr>
        <w:t xml:space="preserve"> efficiently</w:t>
      </w:r>
    </w:p>
    <w:p w14:paraId="3AECD23C" w14:textId="77777777" w:rsidR="004147AC" w:rsidRPr="004147AC" w:rsidRDefault="008E1518" w:rsidP="00A33E0A">
      <w:pPr>
        <w:pStyle w:val="ListParagraph"/>
        <w:numPr>
          <w:ilvl w:val="0"/>
          <w:numId w:val="4"/>
        </w:numPr>
        <w:jc w:val="both"/>
        <w:rPr>
          <w:i/>
        </w:rPr>
      </w:pPr>
      <w:r w:rsidRPr="0036215A">
        <w:rPr>
          <w:rFonts w:cs="Arial"/>
          <w:i/>
          <w:szCs w:val="24"/>
        </w:rPr>
        <w:t xml:space="preserve">undertake some paired observations to moderate judgements across the school and ensure a consistent and appropriate view of expectations in relation to the Teachers’ Standards at different stages of an ECT’s induction </w:t>
      </w:r>
    </w:p>
    <w:p w14:paraId="40F76253" w14:textId="584A7163" w:rsidR="0036215A" w:rsidRPr="0036215A" w:rsidRDefault="0036215A" w:rsidP="00A33E0A">
      <w:pPr>
        <w:pStyle w:val="ListParagraph"/>
        <w:numPr>
          <w:ilvl w:val="0"/>
          <w:numId w:val="4"/>
        </w:numPr>
        <w:jc w:val="both"/>
        <w:rPr>
          <w:i/>
        </w:rPr>
      </w:pPr>
      <w:r w:rsidRPr="0036215A">
        <w:rPr>
          <w:rFonts w:cs="Arial"/>
          <w:i/>
          <w:szCs w:val="24"/>
        </w:rPr>
        <w:t>audit professional reviews, progress reviews and assessment reports for all ECTs</w:t>
      </w:r>
    </w:p>
    <w:p w14:paraId="6D83F440" w14:textId="77777777" w:rsidR="008E1518" w:rsidRPr="0036215A" w:rsidRDefault="0036215A" w:rsidP="00A33E0A">
      <w:pPr>
        <w:pStyle w:val="ListParagraph"/>
        <w:numPr>
          <w:ilvl w:val="0"/>
          <w:numId w:val="4"/>
        </w:numPr>
        <w:jc w:val="both"/>
        <w:rPr>
          <w:i/>
        </w:rPr>
      </w:pPr>
      <w:r w:rsidRPr="0036215A">
        <w:rPr>
          <w:rFonts w:cs="Arial"/>
          <w:i/>
          <w:szCs w:val="24"/>
        </w:rPr>
        <w:t>be the</w:t>
      </w:r>
      <w:r w:rsidR="008E1518" w:rsidRPr="0036215A">
        <w:rPr>
          <w:rFonts w:cs="Arial"/>
          <w:i/>
          <w:szCs w:val="24"/>
        </w:rPr>
        <w:t xml:space="preserve"> first point of contact when an induction tutor or mentor has concerns about an ECT’s progress.</w:t>
      </w:r>
      <w:r w:rsidR="00770009" w:rsidRPr="0036215A">
        <w:rPr>
          <w:rFonts w:cs="Arial"/>
          <w:i/>
          <w:szCs w:val="24"/>
        </w:rPr>
        <w:t>]</w:t>
      </w:r>
    </w:p>
    <w:p w14:paraId="7A3E1CE1" w14:textId="77777777" w:rsidR="008E1518" w:rsidRDefault="008E1518" w:rsidP="00A33E0A">
      <w:pPr>
        <w:pStyle w:val="ListParagraph"/>
        <w:ind w:left="360"/>
        <w:jc w:val="both"/>
      </w:pPr>
    </w:p>
    <w:p w14:paraId="3BE6D7A7" w14:textId="4278F0EA" w:rsidR="00A10F4B" w:rsidRDefault="00A33E0A" w:rsidP="00A33E0A">
      <w:pPr>
        <w:jc w:val="both"/>
        <w:rPr>
          <w:b/>
          <w:bCs/>
        </w:rPr>
      </w:pPr>
      <w:r w:rsidRPr="004729E6">
        <w:rPr>
          <w:b/>
          <w:bCs/>
        </w:rPr>
        <w:t>Induction</w:t>
      </w:r>
      <w:r>
        <w:rPr>
          <w:b/>
          <w:bCs/>
        </w:rPr>
        <w:t xml:space="preserve"> </w:t>
      </w:r>
      <w:r w:rsidRPr="004729E6">
        <w:rPr>
          <w:b/>
          <w:bCs/>
        </w:rPr>
        <w:t>tutor</w:t>
      </w:r>
    </w:p>
    <w:p w14:paraId="751C7BE5" w14:textId="06675A2B" w:rsidR="00E13893" w:rsidRDefault="00C30015" w:rsidP="00A33E0A">
      <w:pPr>
        <w:pStyle w:val="ListParagraph"/>
        <w:ind w:left="0"/>
        <w:jc w:val="both"/>
      </w:pPr>
      <w:r>
        <w:t xml:space="preserve">Many tasks associated with the </w:t>
      </w:r>
      <w:r w:rsidR="008869F4">
        <w:t>H</w:t>
      </w:r>
      <w:r w:rsidR="0059799B">
        <w:t>eadteacher</w:t>
      </w:r>
      <w:r w:rsidR="0010362F">
        <w:t>/</w:t>
      </w:r>
      <w:r w:rsidR="008869F4">
        <w:t>P</w:t>
      </w:r>
      <w:r w:rsidR="0010362F">
        <w:t>rincipal</w:t>
      </w:r>
      <w:r>
        <w:t xml:space="preserve"> </w:t>
      </w:r>
      <w:r w:rsidR="00275199">
        <w:t>may</w:t>
      </w:r>
      <w:r>
        <w:t xml:space="preserve"> be </w:t>
      </w:r>
      <w:r w:rsidR="0010362F">
        <w:t>delegated</w:t>
      </w:r>
      <w:r>
        <w:t xml:space="preserve"> </w:t>
      </w:r>
      <w:r w:rsidR="0010362F">
        <w:t>to</w:t>
      </w:r>
      <w:r>
        <w:t xml:space="preserve"> the induction tutor </w:t>
      </w:r>
      <w:r w:rsidR="00275199">
        <w:t>or</w:t>
      </w:r>
      <w:r>
        <w:t xml:space="preserve"> other suitably experienced colleagues.</w:t>
      </w:r>
    </w:p>
    <w:p w14:paraId="3C83C4B6" w14:textId="77777777" w:rsidR="000D27DB" w:rsidRDefault="000D27DB" w:rsidP="00A33E0A">
      <w:pPr>
        <w:pStyle w:val="ListParagraph"/>
        <w:ind w:left="0"/>
        <w:jc w:val="both"/>
      </w:pPr>
    </w:p>
    <w:p w14:paraId="60C9FFF1" w14:textId="77777777" w:rsidR="00C30015" w:rsidRDefault="00E13893" w:rsidP="00A33E0A">
      <w:pPr>
        <w:jc w:val="both"/>
      </w:pPr>
      <w:r w:rsidRPr="00E13893">
        <w:t>The induction tutor will:</w:t>
      </w:r>
    </w:p>
    <w:p w14:paraId="406CB537" w14:textId="46D2DA3D" w:rsidR="006B0F0E" w:rsidRPr="00E13893" w:rsidRDefault="006B0F0E" w:rsidP="00A33E0A">
      <w:pPr>
        <w:pStyle w:val="ListParagraph"/>
        <w:numPr>
          <w:ilvl w:val="0"/>
          <w:numId w:val="12"/>
        </w:numPr>
        <w:jc w:val="both"/>
      </w:pPr>
      <w:r>
        <w:t>ensure ECT is kept up to date on their progress and there will be nothing unknown</w:t>
      </w:r>
      <w:r w:rsidR="004147AC">
        <w:t>, no surprises,</w:t>
      </w:r>
      <w:r>
        <w:t xml:space="preserve"> at the time of a formal assessment.</w:t>
      </w:r>
    </w:p>
    <w:p w14:paraId="2570D1B4" w14:textId="77777777" w:rsidR="008A7B18" w:rsidRDefault="00D60EB7" w:rsidP="00A33E0A">
      <w:pPr>
        <w:pStyle w:val="ListParagraph"/>
        <w:numPr>
          <w:ilvl w:val="0"/>
          <w:numId w:val="4"/>
        </w:numPr>
        <w:jc w:val="both"/>
      </w:pPr>
      <w:r>
        <w:t>ha</w:t>
      </w:r>
      <w:r w:rsidR="00E13893">
        <w:t>ve</w:t>
      </w:r>
      <w:r>
        <w:t xml:space="preserve"> responsibility </w:t>
      </w:r>
      <w:r w:rsidR="00DE37F0">
        <w:t xml:space="preserve">for the day-to-day </w:t>
      </w:r>
      <w:r w:rsidR="005A69BB">
        <w:t xml:space="preserve">oversight of the </w:t>
      </w:r>
      <w:r w:rsidR="00624CED">
        <w:t>pre-planned</w:t>
      </w:r>
      <w:r w:rsidR="00296390">
        <w:t xml:space="preserve"> </w:t>
      </w:r>
      <w:r w:rsidR="002E60A2">
        <w:t>induction programme</w:t>
      </w:r>
    </w:p>
    <w:p w14:paraId="47174FDB" w14:textId="77777777" w:rsidR="00462C82" w:rsidRPr="00462C82" w:rsidRDefault="008E05B6" w:rsidP="003B0CE8">
      <w:pPr>
        <w:pStyle w:val="ListParagraph"/>
        <w:numPr>
          <w:ilvl w:val="0"/>
          <w:numId w:val="4"/>
        </w:numPr>
        <w:jc w:val="both"/>
      </w:pPr>
      <w:r>
        <w:t xml:space="preserve">meet regularly </w:t>
      </w:r>
      <w:r w:rsidR="00B775E8">
        <w:t xml:space="preserve">with the </w:t>
      </w:r>
      <w:r w:rsidR="00624CED">
        <w:t>EC</w:t>
      </w:r>
      <w:r w:rsidR="00B775E8">
        <w:t xml:space="preserve">T, </w:t>
      </w:r>
      <w:r w:rsidR="004D50B5">
        <w:t>retain</w:t>
      </w:r>
      <w:r w:rsidR="00706BCC">
        <w:t>ing</w:t>
      </w:r>
      <w:r w:rsidR="004D50B5">
        <w:t xml:space="preserve"> </w:t>
      </w:r>
      <w:r w:rsidR="006A7485">
        <w:t xml:space="preserve">signed and dated </w:t>
      </w:r>
      <w:r w:rsidR="00537B0B">
        <w:t xml:space="preserve">meeting </w:t>
      </w:r>
      <w:r w:rsidR="004D50B5">
        <w:t>notes</w:t>
      </w:r>
      <w:r w:rsidR="00275199">
        <w:t xml:space="preserve"> that are uploaded to ECT Manager </w:t>
      </w:r>
      <w:r w:rsidR="004147AC">
        <w:rPr>
          <w:iCs/>
        </w:rPr>
        <w:t xml:space="preserve">to provide </w:t>
      </w:r>
      <w:r w:rsidR="00994C7E">
        <w:rPr>
          <w:iCs/>
        </w:rPr>
        <w:t>transparency</w:t>
      </w:r>
      <w:r w:rsidR="004147AC">
        <w:rPr>
          <w:iCs/>
        </w:rPr>
        <w:t xml:space="preserve"> and access for </w:t>
      </w:r>
      <w:r w:rsidR="00994C7E">
        <w:rPr>
          <w:iCs/>
        </w:rPr>
        <w:t xml:space="preserve">ECT, induction tutor, </w:t>
      </w:r>
      <w:r w:rsidR="008F7B17">
        <w:rPr>
          <w:iCs/>
        </w:rPr>
        <w:t>H</w:t>
      </w:r>
      <w:r w:rsidR="00994C7E">
        <w:rPr>
          <w:iCs/>
        </w:rPr>
        <w:t>eadteacher/</w:t>
      </w:r>
      <w:r w:rsidR="008F7B17">
        <w:rPr>
          <w:iCs/>
        </w:rPr>
        <w:t>P</w:t>
      </w:r>
      <w:r w:rsidR="00994C7E">
        <w:rPr>
          <w:iCs/>
        </w:rPr>
        <w:t>rincipal</w:t>
      </w:r>
      <w:r w:rsidR="00B728DD">
        <w:rPr>
          <w:iCs/>
        </w:rPr>
        <w:t xml:space="preserve">, </w:t>
      </w:r>
      <w:r w:rsidR="00994C7E">
        <w:rPr>
          <w:iCs/>
        </w:rPr>
        <w:t>induction lead</w:t>
      </w:r>
      <w:r w:rsidR="00B728DD">
        <w:rPr>
          <w:iCs/>
        </w:rPr>
        <w:t>/</w:t>
      </w:r>
      <w:r w:rsidR="00994C7E">
        <w:rPr>
          <w:iCs/>
        </w:rPr>
        <w:t>professional tutor</w:t>
      </w:r>
      <w:r w:rsidR="00B728DD">
        <w:rPr>
          <w:iCs/>
        </w:rPr>
        <w:t>,</w:t>
      </w:r>
      <w:r w:rsidR="00994C7E">
        <w:rPr>
          <w:iCs/>
        </w:rPr>
        <w:t xml:space="preserve"> and </w:t>
      </w:r>
      <w:r w:rsidR="00B728DD">
        <w:rPr>
          <w:iCs/>
        </w:rPr>
        <w:t>the</w:t>
      </w:r>
      <w:r w:rsidR="00994C7E">
        <w:rPr>
          <w:iCs/>
        </w:rPr>
        <w:t xml:space="preserve"> Appropriate Body</w:t>
      </w:r>
      <w:r w:rsidR="003B0CE8">
        <w:rPr>
          <w:iCs/>
        </w:rPr>
        <w:t xml:space="preserve"> </w:t>
      </w:r>
    </w:p>
    <w:p w14:paraId="4C7B4F5B" w14:textId="77777777" w:rsidR="00462C82" w:rsidRDefault="00781DB6" w:rsidP="00462C82">
      <w:pPr>
        <w:pStyle w:val="ListParagraph"/>
        <w:numPr>
          <w:ilvl w:val="0"/>
          <w:numId w:val="4"/>
        </w:numPr>
        <w:jc w:val="both"/>
      </w:pPr>
      <w:r>
        <w:t>undertake</w:t>
      </w:r>
      <w:r w:rsidR="00E159D6">
        <w:t>,</w:t>
      </w:r>
      <w:r w:rsidR="00C94469">
        <w:t xml:space="preserve"> and/or</w:t>
      </w:r>
      <w:r w:rsidR="00E159D6">
        <w:t>,</w:t>
      </w:r>
      <w:r w:rsidR="00C94469">
        <w:t xml:space="preserve"> arrange lesson observations as necessary</w:t>
      </w:r>
      <w:r w:rsidR="008F7B17">
        <w:t xml:space="preserve"> </w:t>
      </w:r>
      <w:r w:rsidR="00275199">
        <w:t>at least each half-term</w:t>
      </w:r>
    </w:p>
    <w:p w14:paraId="0E89C498" w14:textId="2B789866" w:rsidR="000E53F9" w:rsidRDefault="0094496E" w:rsidP="00462C82">
      <w:pPr>
        <w:pStyle w:val="ListParagraph"/>
        <w:numPr>
          <w:ilvl w:val="0"/>
          <w:numId w:val="4"/>
        </w:numPr>
        <w:jc w:val="both"/>
      </w:pPr>
      <w:r>
        <w:t>provide opportunities for the ECT to observe experienced teachers to support their understanding and professional development</w:t>
      </w:r>
    </w:p>
    <w:p w14:paraId="5647A3E7" w14:textId="77777777" w:rsidR="00C747EE" w:rsidRDefault="00997EED" w:rsidP="00A33E0A">
      <w:pPr>
        <w:pStyle w:val="ListParagraph"/>
        <w:numPr>
          <w:ilvl w:val="0"/>
          <w:numId w:val="14"/>
        </w:numPr>
        <w:jc w:val="both"/>
      </w:pPr>
      <w:r>
        <w:t xml:space="preserve">have oversight of </w:t>
      </w:r>
      <w:r w:rsidR="00C4439B">
        <w:t xml:space="preserve">the </w:t>
      </w:r>
      <w:r w:rsidR="00C747EE">
        <w:t>EC</w:t>
      </w:r>
      <w:r w:rsidR="00C348E9">
        <w:t xml:space="preserve">T’s use of </w:t>
      </w:r>
      <w:r w:rsidR="00C2766B">
        <w:t>the timetable reduction</w:t>
      </w:r>
      <w:r w:rsidR="00275199">
        <w:t xml:space="preserve"> for professional development</w:t>
      </w:r>
    </w:p>
    <w:p w14:paraId="1567C6F6" w14:textId="77777777" w:rsidR="00531530" w:rsidRDefault="005872D9" w:rsidP="00A33E0A">
      <w:pPr>
        <w:pStyle w:val="ListParagraph"/>
        <w:numPr>
          <w:ilvl w:val="0"/>
          <w:numId w:val="14"/>
        </w:numPr>
        <w:jc w:val="both"/>
      </w:pPr>
      <w:r>
        <w:lastRenderedPageBreak/>
        <w:t>arrange support when necessary</w:t>
      </w:r>
      <w:r w:rsidR="00E77387">
        <w:t xml:space="preserve"> </w:t>
      </w:r>
    </w:p>
    <w:p w14:paraId="49489060" w14:textId="77777777" w:rsidR="00B919B3" w:rsidRDefault="008C0659" w:rsidP="00A33E0A">
      <w:pPr>
        <w:pStyle w:val="ListParagraph"/>
        <w:numPr>
          <w:ilvl w:val="0"/>
          <w:numId w:val="14"/>
        </w:numPr>
        <w:jc w:val="both"/>
      </w:pPr>
      <w:r>
        <w:t>ensur</w:t>
      </w:r>
      <w:r w:rsidR="00DE63D5">
        <w:t>e</w:t>
      </w:r>
      <w:r>
        <w:t xml:space="preserve"> rigorous</w:t>
      </w:r>
      <w:r w:rsidR="00F709AE">
        <w:t xml:space="preserve"> and fair assessment</w:t>
      </w:r>
      <w:r w:rsidR="00F0526F">
        <w:t xml:space="preserve"> throughout the induction process</w:t>
      </w:r>
      <w:r w:rsidR="00C4439B">
        <w:t xml:space="preserve"> </w:t>
      </w:r>
      <w:r w:rsidR="004E0565">
        <w:t>including professional reviews, progress reviews and assessment reports</w:t>
      </w:r>
    </w:p>
    <w:p w14:paraId="7FD797E0" w14:textId="5025D0EF" w:rsidR="00175398" w:rsidRDefault="00175398" w:rsidP="00A33E0A">
      <w:pPr>
        <w:pStyle w:val="ListParagraph"/>
        <w:numPr>
          <w:ilvl w:val="0"/>
          <w:numId w:val="14"/>
        </w:numPr>
        <w:jc w:val="both"/>
      </w:pPr>
      <w:r>
        <w:t xml:space="preserve">liaise with the dedicated ECF mentor to </w:t>
      </w:r>
      <w:r w:rsidRPr="00175398">
        <w:t xml:space="preserve">ensure pertinent information is </w:t>
      </w:r>
      <w:r w:rsidR="00994C7E" w:rsidRPr="00175398">
        <w:t>considered</w:t>
      </w:r>
    </w:p>
    <w:p w14:paraId="0CEA66E3" w14:textId="3769044C" w:rsidR="00251832" w:rsidRDefault="00F0526F" w:rsidP="00A33E0A">
      <w:pPr>
        <w:pStyle w:val="ListParagraph"/>
        <w:numPr>
          <w:ilvl w:val="0"/>
          <w:numId w:val="14"/>
        </w:numPr>
        <w:jc w:val="both"/>
      </w:pPr>
      <w:r>
        <w:t>infor</w:t>
      </w:r>
      <w:r w:rsidR="00AF4E0A">
        <w:t xml:space="preserve">m the </w:t>
      </w:r>
      <w:r w:rsidR="008F7B17">
        <w:t>H</w:t>
      </w:r>
      <w:r w:rsidR="00AF4E0A">
        <w:t>eadteacher/</w:t>
      </w:r>
      <w:r w:rsidR="008F7B17">
        <w:t>P</w:t>
      </w:r>
      <w:r w:rsidR="00AF4E0A">
        <w:t>rincipal</w:t>
      </w:r>
      <w:r w:rsidR="00D57438">
        <w:t xml:space="preserve"> and the Appropriate Body</w:t>
      </w:r>
      <w:r w:rsidR="006722B2">
        <w:t xml:space="preserve">, at the earliest opportunity, if </w:t>
      </w:r>
      <w:r w:rsidR="002647A3">
        <w:t xml:space="preserve">concerns arise that the </w:t>
      </w:r>
      <w:r w:rsidR="00C747EE">
        <w:t>EC</w:t>
      </w:r>
      <w:r w:rsidR="006623A2">
        <w:t xml:space="preserve">T is </w:t>
      </w:r>
      <w:r w:rsidR="00C747EE">
        <w:t>not ‘on track’ to</w:t>
      </w:r>
      <w:r w:rsidR="006623A2">
        <w:t xml:space="preserve"> meet all the Teachers’ </w:t>
      </w:r>
      <w:r w:rsidR="00727CDF">
        <w:t>S</w:t>
      </w:r>
      <w:r w:rsidR="006623A2">
        <w:t>tandards</w:t>
      </w:r>
      <w:r w:rsidR="00382AC7">
        <w:t>, ‘consistently over a sustained period’</w:t>
      </w:r>
      <w:r w:rsidR="009D6311">
        <w:t xml:space="preserve"> by the end of the statutory induction period</w:t>
      </w:r>
      <w:r w:rsidR="000D5ECB">
        <w:t>’</w:t>
      </w:r>
    </w:p>
    <w:p w14:paraId="1779C558" w14:textId="31106735" w:rsidR="0064401A" w:rsidRDefault="0064401A" w:rsidP="00A33E0A">
      <w:pPr>
        <w:pStyle w:val="ListParagraph"/>
        <w:numPr>
          <w:ilvl w:val="0"/>
          <w:numId w:val="14"/>
        </w:numPr>
        <w:jc w:val="both"/>
      </w:pPr>
      <w:r>
        <w:t xml:space="preserve">write a support plan </w:t>
      </w:r>
      <w:r w:rsidR="003B0141">
        <w:t xml:space="preserve">and work with the ECT </w:t>
      </w:r>
      <w:r>
        <w:t>to bring the ECT back ‘on track’</w:t>
      </w:r>
    </w:p>
    <w:p w14:paraId="35948142" w14:textId="7CFA17D3" w:rsidR="0064401A" w:rsidRDefault="00104D82" w:rsidP="00A33E0A">
      <w:pPr>
        <w:pStyle w:val="ListParagraph"/>
        <w:numPr>
          <w:ilvl w:val="0"/>
          <w:numId w:val="14"/>
        </w:numPr>
        <w:jc w:val="both"/>
      </w:pPr>
      <w:r>
        <w:t xml:space="preserve">share the support plan with the ECT, </w:t>
      </w:r>
      <w:r w:rsidR="008F7B17">
        <w:t>H</w:t>
      </w:r>
      <w:r>
        <w:t>eadteacher</w:t>
      </w:r>
      <w:r w:rsidR="00462C82">
        <w:t>/Principal</w:t>
      </w:r>
      <w:r>
        <w:t xml:space="preserve"> and Appropriate Body</w:t>
      </w:r>
    </w:p>
    <w:p w14:paraId="1D2F94F9" w14:textId="77777777" w:rsidR="003D19FF" w:rsidRDefault="003D19FF" w:rsidP="00A33E0A">
      <w:pPr>
        <w:pStyle w:val="ListParagraph"/>
        <w:numPr>
          <w:ilvl w:val="0"/>
          <w:numId w:val="14"/>
        </w:numPr>
        <w:jc w:val="both"/>
      </w:pPr>
      <w:r>
        <w:t xml:space="preserve">seek support, </w:t>
      </w:r>
      <w:r w:rsidR="00BF2DFE">
        <w:t>advice,</w:t>
      </w:r>
      <w:r>
        <w:t xml:space="preserve"> and guidance from the Appropriate Body as necessary</w:t>
      </w:r>
    </w:p>
    <w:p w14:paraId="4572DFAF" w14:textId="77777777" w:rsidR="00BF2DFE" w:rsidRDefault="00BF2DFE" w:rsidP="00A33E0A">
      <w:pPr>
        <w:pStyle w:val="ListParagraph"/>
        <w:numPr>
          <w:ilvl w:val="0"/>
          <w:numId w:val="14"/>
        </w:numPr>
        <w:jc w:val="both"/>
      </w:pPr>
      <w:r>
        <w:t xml:space="preserve">ensure </w:t>
      </w:r>
      <w:r w:rsidR="00E72DEA">
        <w:t xml:space="preserve">reviews and assessments are completed on time so that the Appropriate Body can meet its </w:t>
      </w:r>
      <w:r w:rsidR="00E72DEA" w:rsidRPr="00E41BF3">
        <w:t>obligations</w:t>
      </w:r>
      <w:r w:rsidR="004B6513">
        <w:t xml:space="preserve"> and ensure ECTs are informed of </w:t>
      </w:r>
      <w:r w:rsidR="006977F1">
        <w:t>outcomes within the statutory timeframe.</w:t>
      </w:r>
    </w:p>
    <w:p w14:paraId="62FC247F" w14:textId="77777777" w:rsidR="007E58AD" w:rsidRDefault="007E58AD">
      <w:pPr>
        <w:jc w:val="both"/>
      </w:pPr>
    </w:p>
    <w:p w14:paraId="3F2BDCDF" w14:textId="77777777" w:rsidR="008F7B17" w:rsidRDefault="008F7B17" w:rsidP="00A33E0A">
      <w:pPr>
        <w:jc w:val="both"/>
      </w:pPr>
    </w:p>
    <w:p w14:paraId="7E1119DD" w14:textId="77777777" w:rsidR="007E58AD" w:rsidRDefault="00CA09DD" w:rsidP="00A33E0A">
      <w:pPr>
        <w:jc w:val="both"/>
        <w:rPr>
          <w:b/>
          <w:bCs/>
        </w:rPr>
      </w:pPr>
      <w:r>
        <w:rPr>
          <w:b/>
          <w:bCs/>
        </w:rPr>
        <w:t>Dedicated ECF i</w:t>
      </w:r>
      <w:r w:rsidR="007E58AD" w:rsidRPr="004729E6">
        <w:rPr>
          <w:b/>
          <w:bCs/>
        </w:rPr>
        <w:t xml:space="preserve">nduction </w:t>
      </w:r>
      <w:r w:rsidR="00175398">
        <w:rPr>
          <w:b/>
          <w:bCs/>
        </w:rPr>
        <w:t>mentor</w:t>
      </w:r>
    </w:p>
    <w:p w14:paraId="711A2B8B" w14:textId="77777777" w:rsidR="00CD19A4" w:rsidRPr="00CD19A4" w:rsidRDefault="00CD19A4" w:rsidP="00A33E0A">
      <w:pPr>
        <w:jc w:val="both"/>
        <w:rPr>
          <w:bCs/>
        </w:rPr>
      </w:pPr>
      <w:r w:rsidRPr="00CD19A4">
        <w:rPr>
          <w:bCs/>
        </w:rPr>
        <w:t>The mentor has the main responsibility for working with the ECT and the ECF throughout the statutory induction period.</w:t>
      </w:r>
    </w:p>
    <w:p w14:paraId="140561DE" w14:textId="77777777" w:rsidR="00175398" w:rsidRDefault="00175398" w:rsidP="00A33E0A">
      <w:pPr>
        <w:jc w:val="both"/>
        <w:rPr>
          <w:b/>
          <w:bCs/>
        </w:rPr>
      </w:pPr>
    </w:p>
    <w:p w14:paraId="2D884A8E" w14:textId="77777777" w:rsidR="00A77430" w:rsidRDefault="00A77430" w:rsidP="00A33E0A">
      <w:pPr>
        <w:jc w:val="both"/>
      </w:pPr>
      <w:r w:rsidRPr="00E13893">
        <w:t xml:space="preserve">The induction </w:t>
      </w:r>
      <w:r>
        <w:t>mentor</w:t>
      </w:r>
      <w:r w:rsidRPr="00E13893">
        <w:t xml:space="preserve"> will:</w:t>
      </w:r>
    </w:p>
    <w:p w14:paraId="60A0F94F" w14:textId="5D3B5F34" w:rsidR="00A77430" w:rsidRDefault="00A77430" w:rsidP="00A33E0A">
      <w:pPr>
        <w:pStyle w:val="ListParagraph"/>
        <w:numPr>
          <w:ilvl w:val="0"/>
          <w:numId w:val="13"/>
        </w:numPr>
        <w:jc w:val="both"/>
      </w:pPr>
      <w:r>
        <w:t xml:space="preserve">work collaboratively with ECT and others in the school to ensure </w:t>
      </w:r>
      <w:r w:rsidR="008F7B17">
        <w:t xml:space="preserve">the </w:t>
      </w:r>
      <w:r>
        <w:t>ECT receives a high-quality ECF-based induction programme</w:t>
      </w:r>
    </w:p>
    <w:p w14:paraId="1A892FBB" w14:textId="77777777" w:rsidR="00A77430" w:rsidRDefault="00A77430" w:rsidP="00A33E0A">
      <w:pPr>
        <w:pStyle w:val="ListParagraph"/>
        <w:numPr>
          <w:ilvl w:val="0"/>
          <w:numId w:val="13"/>
        </w:numPr>
        <w:jc w:val="both"/>
      </w:pPr>
      <w:r>
        <w:t>meet regularly with the ECT for structured mentor sessions based on the ECF</w:t>
      </w:r>
    </w:p>
    <w:p w14:paraId="1BF8DF38" w14:textId="77777777" w:rsidR="00A77430" w:rsidRDefault="00A77430" w:rsidP="00A33E0A">
      <w:pPr>
        <w:pStyle w:val="ListParagraph"/>
        <w:numPr>
          <w:ilvl w:val="0"/>
          <w:numId w:val="13"/>
        </w:numPr>
        <w:jc w:val="both"/>
      </w:pPr>
      <w:r>
        <w:t>provide targeted feedback and instructional coaching based on ECF training programme</w:t>
      </w:r>
      <w:r w:rsidR="00CC2573" w:rsidRPr="00CC2573">
        <w:t xml:space="preserve"> </w:t>
      </w:r>
      <w:r w:rsidR="00FC73D6">
        <w:t xml:space="preserve">and </w:t>
      </w:r>
      <w:r w:rsidR="00CC2573">
        <w:t>take prompt action if ECT appears to be having difficulties</w:t>
      </w:r>
    </w:p>
    <w:p w14:paraId="3598295B" w14:textId="549E8AF1" w:rsidR="00CA09DD" w:rsidRDefault="00CC2573" w:rsidP="00A33E0A">
      <w:pPr>
        <w:pStyle w:val="ListParagraph"/>
        <w:numPr>
          <w:ilvl w:val="0"/>
          <w:numId w:val="13"/>
        </w:numPr>
        <w:jc w:val="both"/>
      </w:pPr>
      <w:r>
        <w:t>provide</w:t>
      </w:r>
      <w:r w:rsidR="000D0A4E">
        <w:t>,</w:t>
      </w:r>
      <w:r>
        <w:t xml:space="preserve"> or broker</w:t>
      </w:r>
      <w:r w:rsidR="000D0A4E">
        <w:t>,</w:t>
      </w:r>
      <w:r>
        <w:t xml:space="preserve"> effective support when required</w:t>
      </w:r>
      <w:r w:rsidR="00994C7E">
        <w:t>,</w:t>
      </w:r>
      <w:r>
        <w:t xml:space="preserve"> which may be phase or subject specific</w:t>
      </w:r>
    </w:p>
    <w:p w14:paraId="297762E0" w14:textId="77777777" w:rsidR="00A77430" w:rsidRDefault="00A77430" w:rsidP="00A33E0A">
      <w:pPr>
        <w:pStyle w:val="ListParagraph"/>
        <w:numPr>
          <w:ilvl w:val="0"/>
          <w:numId w:val="13"/>
        </w:numPr>
        <w:jc w:val="both"/>
      </w:pPr>
      <w:r>
        <w:t>ensure headteacher/principal and ECT are aware if there are any concerns the ECT is not on-track to meet the Teachers’ Standards by the end of the statutory induction period</w:t>
      </w:r>
    </w:p>
    <w:p w14:paraId="6418E48B" w14:textId="77777777" w:rsidR="00A77430" w:rsidRDefault="00A77430" w:rsidP="00A33E0A">
      <w:pPr>
        <w:pStyle w:val="ListParagraph"/>
        <w:numPr>
          <w:ilvl w:val="0"/>
          <w:numId w:val="13"/>
        </w:numPr>
        <w:jc w:val="both"/>
      </w:pPr>
      <w:r>
        <w:t xml:space="preserve">work with the school </w:t>
      </w:r>
      <w:r w:rsidR="00E1257D">
        <w:t>and</w:t>
      </w:r>
      <w:r>
        <w:t xml:space="preserve"> ECT if a support plan is required</w:t>
      </w:r>
    </w:p>
    <w:p w14:paraId="2A04990A" w14:textId="5103423B" w:rsidR="003726B2" w:rsidRDefault="003726B2" w:rsidP="00A33E0A">
      <w:pPr>
        <w:jc w:val="both"/>
      </w:pPr>
    </w:p>
    <w:p w14:paraId="2BA19AAD" w14:textId="77777777" w:rsidR="002B32F3" w:rsidRDefault="002B32F3" w:rsidP="00A33E0A">
      <w:pPr>
        <w:jc w:val="both"/>
      </w:pPr>
    </w:p>
    <w:p w14:paraId="0D6FE7BB" w14:textId="77777777" w:rsidR="003726B2" w:rsidRPr="0079435E" w:rsidRDefault="00D47A60" w:rsidP="00A33E0A">
      <w:pPr>
        <w:jc w:val="both"/>
        <w:rPr>
          <w:b/>
          <w:bCs/>
        </w:rPr>
      </w:pPr>
      <w:r>
        <w:rPr>
          <w:b/>
          <w:bCs/>
        </w:rPr>
        <w:t>EC</w:t>
      </w:r>
      <w:r w:rsidR="003726B2" w:rsidRPr="0079435E">
        <w:rPr>
          <w:b/>
          <w:bCs/>
        </w:rPr>
        <w:t>T</w:t>
      </w:r>
    </w:p>
    <w:p w14:paraId="1919B545" w14:textId="439AC02E" w:rsidR="0043680B" w:rsidRDefault="00DA735D" w:rsidP="00A33E0A">
      <w:pPr>
        <w:jc w:val="both"/>
      </w:pPr>
      <w:r>
        <w:t xml:space="preserve">The </w:t>
      </w:r>
      <w:r w:rsidR="005F4A75">
        <w:t>EC</w:t>
      </w:r>
      <w:r>
        <w:t xml:space="preserve">T </w:t>
      </w:r>
      <w:r w:rsidR="00E73035">
        <w:t>is expected to</w:t>
      </w:r>
      <w:r>
        <w:t xml:space="preserve"> participate fully in the induction process</w:t>
      </w:r>
      <w:r w:rsidR="005F4A75">
        <w:t xml:space="preserve">, including </w:t>
      </w:r>
      <w:r w:rsidR="00CA409E">
        <w:t>all</w:t>
      </w:r>
      <w:r w:rsidR="00E73035">
        <w:t xml:space="preserve"> ECF</w:t>
      </w:r>
      <w:r w:rsidR="00CA409E">
        <w:t xml:space="preserve"> activities</w:t>
      </w:r>
      <w:r w:rsidR="00CD19A4">
        <w:t>,</w:t>
      </w:r>
      <w:r w:rsidR="00CA409E">
        <w:t xml:space="preserve"> </w:t>
      </w:r>
      <w:r w:rsidR="00671D11">
        <w:t xml:space="preserve">and demonstrate their capacity to </w:t>
      </w:r>
      <w:r w:rsidR="00B21631">
        <w:t>meet all the Teachers’ Standards</w:t>
      </w:r>
      <w:r w:rsidR="0020271E">
        <w:t>, ‘consistently over a sustained period’</w:t>
      </w:r>
      <w:r w:rsidR="00E85A7C">
        <w:t>; statutory guidance paragraph 1.</w:t>
      </w:r>
      <w:r w:rsidR="005F4A75">
        <w:t>8</w:t>
      </w:r>
      <w:r w:rsidR="00994C7E">
        <w:rPr>
          <w:rStyle w:val="FootnoteReference"/>
        </w:rPr>
        <w:footnoteReference w:id="6"/>
      </w:r>
      <w:r w:rsidR="00E85A7C">
        <w:t>.</w:t>
      </w:r>
    </w:p>
    <w:p w14:paraId="7BBFA721" w14:textId="77777777" w:rsidR="00994C7E" w:rsidRDefault="00994C7E" w:rsidP="00A33E0A">
      <w:pPr>
        <w:jc w:val="both"/>
      </w:pPr>
    </w:p>
    <w:p w14:paraId="1C9239B8" w14:textId="77777777" w:rsidR="00270E34" w:rsidRDefault="00270E34" w:rsidP="00A33E0A">
      <w:pPr>
        <w:jc w:val="both"/>
      </w:pPr>
      <w:r>
        <w:t xml:space="preserve">The </w:t>
      </w:r>
      <w:r w:rsidR="005F4A75">
        <w:t>EC</w:t>
      </w:r>
      <w:r>
        <w:t>T will:</w:t>
      </w:r>
    </w:p>
    <w:p w14:paraId="30BCF746" w14:textId="77777777" w:rsidR="00270E34" w:rsidRDefault="00EE4ADC" w:rsidP="00A33E0A">
      <w:pPr>
        <w:pStyle w:val="ListParagraph"/>
        <w:numPr>
          <w:ilvl w:val="0"/>
          <w:numId w:val="15"/>
        </w:numPr>
        <w:jc w:val="both"/>
      </w:pPr>
      <w:r>
        <w:t xml:space="preserve">provide evidence of </w:t>
      </w:r>
      <w:r w:rsidR="00AF06EF">
        <w:t>Q</w:t>
      </w:r>
      <w:r w:rsidR="00C43664">
        <w:t xml:space="preserve">ualified </w:t>
      </w:r>
      <w:r w:rsidR="00AF06EF">
        <w:t>T</w:t>
      </w:r>
      <w:r w:rsidR="00C43664">
        <w:t xml:space="preserve">eacher </w:t>
      </w:r>
      <w:r w:rsidR="00AF06EF">
        <w:t>S</w:t>
      </w:r>
      <w:r w:rsidR="00C43664">
        <w:t>tatus</w:t>
      </w:r>
    </w:p>
    <w:p w14:paraId="5C671171" w14:textId="77777777" w:rsidR="005E6810" w:rsidRDefault="005E6810" w:rsidP="00A33E0A">
      <w:pPr>
        <w:pStyle w:val="ListParagraph"/>
        <w:numPr>
          <w:ilvl w:val="0"/>
          <w:numId w:val="15"/>
        </w:numPr>
        <w:jc w:val="both"/>
      </w:pPr>
      <w:r>
        <w:t>collabo</w:t>
      </w:r>
      <w:r w:rsidR="0005224C">
        <w:t>r</w:t>
      </w:r>
      <w:r>
        <w:t>ate with the induction tutor to write a pre</w:t>
      </w:r>
      <w:r w:rsidR="0005224C">
        <w:t>-planned induction programme</w:t>
      </w:r>
    </w:p>
    <w:p w14:paraId="79151428" w14:textId="77777777" w:rsidR="00C43664" w:rsidRDefault="00F73228" w:rsidP="00A33E0A">
      <w:pPr>
        <w:pStyle w:val="ListParagraph"/>
        <w:numPr>
          <w:ilvl w:val="0"/>
          <w:numId w:val="15"/>
        </w:numPr>
        <w:jc w:val="both"/>
      </w:pPr>
      <w:r>
        <w:t>agree with the induction tutor how the reduced timetable will be used</w:t>
      </w:r>
    </w:p>
    <w:p w14:paraId="38B34941" w14:textId="77777777" w:rsidR="001C5AC6" w:rsidRDefault="0033102E" w:rsidP="00A33E0A">
      <w:pPr>
        <w:pStyle w:val="ListParagraph"/>
        <w:numPr>
          <w:ilvl w:val="0"/>
          <w:numId w:val="15"/>
        </w:numPr>
        <w:jc w:val="both"/>
      </w:pPr>
      <w:r>
        <w:t xml:space="preserve">provide evidence </w:t>
      </w:r>
      <w:r w:rsidR="00A62507">
        <w:t xml:space="preserve">of how the Teachers’ </w:t>
      </w:r>
      <w:r w:rsidR="004B13A7">
        <w:t>Standards</w:t>
      </w:r>
      <w:r w:rsidR="00CD19A4">
        <w:t xml:space="preserve"> are being met throughout the induction period</w:t>
      </w:r>
    </w:p>
    <w:p w14:paraId="510E0CDE" w14:textId="77777777" w:rsidR="00ED6749" w:rsidRDefault="00ED6749" w:rsidP="00A33E0A">
      <w:pPr>
        <w:pStyle w:val="ListParagraph"/>
        <w:numPr>
          <w:ilvl w:val="0"/>
          <w:numId w:val="15"/>
        </w:numPr>
        <w:jc w:val="both"/>
      </w:pPr>
      <w:r>
        <w:t xml:space="preserve">participate fully in </w:t>
      </w:r>
      <w:r w:rsidR="003E2451">
        <w:t>the monitoring and development programme</w:t>
      </w:r>
    </w:p>
    <w:p w14:paraId="23107AB7" w14:textId="4FA95EE8" w:rsidR="00295E9A" w:rsidRDefault="00295E9A" w:rsidP="00A33E0A">
      <w:pPr>
        <w:pStyle w:val="ListParagraph"/>
        <w:numPr>
          <w:ilvl w:val="0"/>
          <w:numId w:val="15"/>
        </w:numPr>
        <w:jc w:val="both"/>
      </w:pPr>
      <w:r>
        <w:lastRenderedPageBreak/>
        <w:t xml:space="preserve">work closely with the ECF dedicated mentor to access all aspects </w:t>
      </w:r>
      <w:r w:rsidR="00C22129">
        <w:t xml:space="preserve">of the ECF </w:t>
      </w:r>
      <w:r w:rsidR="005771E9">
        <w:t>to</w:t>
      </w:r>
      <w:r w:rsidR="00C22129">
        <w:t xml:space="preserve"> </w:t>
      </w:r>
      <w:r w:rsidR="005771E9">
        <w:t>develop</w:t>
      </w:r>
      <w:r w:rsidR="00C55C4F">
        <w:t xml:space="preserve"> skills, </w:t>
      </w:r>
      <w:r w:rsidR="00AE42E1">
        <w:t>pedagogy,</w:t>
      </w:r>
      <w:r w:rsidR="00C55C4F">
        <w:t xml:space="preserve"> and practice </w:t>
      </w:r>
      <w:r w:rsidR="005771E9">
        <w:t xml:space="preserve">to impact positively on outcomes for </w:t>
      </w:r>
      <w:r w:rsidR="00F7200A">
        <w:t>children/pupils/students</w:t>
      </w:r>
    </w:p>
    <w:p w14:paraId="4A407EB2" w14:textId="77777777" w:rsidR="00715337" w:rsidRDefault="00715337" w:rsidP="00A33E0A">
      <w:pPr>
        <w:pStyle w:val="ListParagraph"/>
        <w:numPr>
          <w:ilvl w:val="0"/>
          <w:numId w:val="15"/>
        </w:numPr>
        <w:jc w:val="both"/>
      </w:pPr>
      <w:r>
        <w:t xml:space="preserve">participate effectively in </w:t>
      </w:r>
      <w:r w:rsidR="00B05D63">
        <w:t xml:space="preserve">observations, </w:t>
      </w:r>
      <w:r w:rsidR="006F1930">
        <w:t>professional reviews</w:t>
      </w:r>
      <w:r w:rsidR="00683B0E">
        <w:t xml:space="preserve">, </w:t>
      </w:r>
      <w:r w:rsidR="00B05D63">
        <w:t>progress reviews and formal assessment meetings</w:t>
      </w:r>
    </w:p>
    <w:p w14:paraId="27493FB1" w14:textId="7B3CCD4F" w:rsidR="00E219C8" w:rsidRDefault="00E219C8" w:rsidP="00A33E0A">
      <w:pPr>
        <w:pStyle w:val="ListParagraph"/>
        <w:numPr>
          <w:ilvl w:val="0"/>
          <w:numId w:val="15"/>
        </w:numPr>
        <w:jc w:val="both"/>
      </w:pPr>
      <w:r>
        <w:t xml:space="preserve">retain personal copies of </w:t>
      </w:r>
      <w:r w:rsidR="00683B0E">
        <w:t>both</w:t>
      </w:r>
      <w:r w:rsidR="007D6347">
        <w:t xml:space="preserve"> formal assessment</w:t>
      </w:r>
      <w:r w:rsidR="00994C7E">
        <w:t xml:space="preserve"> reports.</w:t>
      </w:r>
    </w:p>
    <w:p w14:paraId="401D38A6" w14:textId="77777777" w:rsidR="002D398B" w:rsidRDefault="002D398B" w:rsidP="00A33E0A">
      <w:pPr>
        <w:jc w:val="both"/>
      </w:pPr>
    </w:p>
    <w:p w14:paraId="3C131FDB" w14:textId="623F492C" w:rsidR="00F7200A" w:rsidRDefault="002D398B" w:rsidP="00A33E0A">
      <w:pPr>
        <w:spacing w:after="240"/>
        <w:jc w:val="both"/>
        <w:rPr>
          <w:rFonts w:cs="Arial"/>
          <w:szCs w:val="24"/>
        </w:rPr>
      </w:pPr>
      <w:r w:rsidRPr="002D398B">
        <w:rPr>
          <w:rFonts w:cs="Arial"/>
          <w:szCs w:val="24"/>
        </w:rPr>
        <w:t xml:space="preserve">If an ECT has any concerns about induction </w:t>
      </w:r>
      <w:r w:rsidR="006B0F0E">
        <w:rPr>
          <w:rFonts w:cs="Arial"/>
          <w:szCs w:val="24"/>
        </w:rPr>
        <w:t xml:space="preserve">processes </w:t>
      </w:r>
      <w:r w:rsidRPr="002D398B">
        <w:rPr>
          <w:rFonts w:cs="Arial"/>
          <w:szCs w:val="24"/>
        </w:rPr>
        <w:t>the</w:t>
      </w:r>
      <w:r w:rsidR="006B0F0E">
        <w:rPr>
          <w:rFonts w:cs="Arial"/>
          <w:szCs w:val="24"/>
        </w:rPr>
        <w:t>y</w:t>
      </w:r>
      <w:r w:rsidRPr="002D398B">
        <w:rPr>
          <w:rFonts w:cs="Arial"/>
          <w:szCs w:val="24"/>
        </w:rPr>
        <w:t xml:space="preserve"> should be raised within the school in the first instance.  Where the school is not able to resolve the concerns the ECT should raise concerns with the Appropriate Body </w:t>
      </w:r>
      <w:r w:rsidR="00994C7E">
        <w:rPr>
          <w:rFonts w:cs="Arial"/>
          <w:szCs w:val="24"/>
        </w:rPr>
        <w:t xml:space="preserve">named </w:t>
      </w:r>
      <w:r w:rsidRPr="002D398B">
        <w:rPr>
          <w:rFonts w:cs="Arial"/>
          <w:szCs w:val="24"/>
        </w:rPr>
        <w:t>contact</w:t>
      </w:r>
      <w:r w:rsidR="0022768A">
        <w:rPr>
          <w:rFonts w:cs="Arial"/>
          <w:szCs w:val="24"/>
        </w:rPr>
        <w:t xml:space="preserve">. </w:t>
      </w:r>
      <w:r w:rsidR="0022768A" w:rsidRPr="002D398B" w:rsidDel="0022768A">
        <w:rPr>
          <w:rFonts w:cs="Arial"/>
          <w:szCs w:val="24"/>
        </w:rPr>
        <w:t xml:space="preserve"> </w:t>
      </w:r>
      <w:r w:rsidRPr="002D398B">
        <w:rPr>
          <w:rFonts w:cs="Arial"/>
          <w:szCs w:val="24"/>
        </w:rPr>
        <w:t>ECTs will be reminded that their professional association</w:t>
      </w:r>
      <w:r w:rsidR="00332357">
        <w:rPr>
          <w:rFonts w:cs="Arial"/>
          <w:szCs w:val="24"/>
        </w:rPr>
        <w:t xml:space="preserve"> </w:t>
      </w:r>
      <w:r w:rsidR="00F37B30">
        <w:rPr>
          <w:rFonts w:cs="Arial"/>
          <w:szCs w:val="24"/>
        </w:rPr>
        <w:t>can be</w:t>
      </w:r>
      <w:r w:rsidR="008F7B17">
        <w:rPr>
          <w:rFonts w:cs="Arial"/>
          <w:szCs w:val="24"/>
        </w:rPr>
        <w:t xml:space="preserve"> </w:t>
      </w:r>
      <w:r w:rsidRPr="002D398B">
        <w:rPr>
          <w:rFonts w:cs="Arial"/>
          <w:szCs w:val="24"/>
        </w:rPr>
        <w:t>another source of advice and support.</w:t>
      </w:r>
    </w:p>
    <w:p w14:paraId="74B9AF98" w14:textId="77777777" w:rsidR="009D08C1" w:rsidRPr="006B0F0E" w:rsidRDefault="009D08C1" w:rsidP="00A33E0A">
      <w:pPr>
        <w:spacing w:after="240"/>
        <w:jc w:val="both"/>
        <w:rPr>
          <w:rFonts w:cs="Arial"/>
          <w:szCs w:val="24"/>
        </w:rPr>
      </w:pPr>
    </w:p>
    <w:p w14:paraId="44B9EF72" w14:textId="77777777" w:rsidR="00F7200A" w:rsidRDefault="00F624AC" w:rsidP="00A33E0A">
      <w:pPr>
        <w:jc w:val="both"/>
        <w:rPr>
          <w:b/>
          <w:bCs/>
        </w:rPr>
      </w:pPr>
      <w:r w:rsidRPr="00F624AC">
        <w:rPr>
          <w:b/>
          <w:bCs/>
        </w:rPr>
        <w:t>The Early Career Framework</w:t>
      </w:r>
    </w:p>
    <w:p w14:paraId="2C23CEEB" w14:textId="0B27AD93" w:rsidR="00F624AC" w:rsidRDefault="00113E10" w:rsidP="00A33E0A">
      <w:pPr>
        <w:jc w:val="both"/>
      </w:pPr>
      <w:r>
        <w:t>H</w:t>
      </w:r>
      <w:r w:rsidR="00737FA2">
        <w:t>eadteachers/</w:t>
      </w:r>
      <w:r w:rsidR="008F7B17">
        <w:t>P</w:t>
      </w:r>
      <w:r w:rsidR="00737FA2">
        <w:t xml:space="preserve">rincipals are expected to ensure ECTs </w:t>
      </w:r>
      <w:r w:rsidR="00CC568E">
        <w:t xml:space="preserve">receive an ECF-based training </w:t>
      </w:r>
      <w:r w:rsidR="0081274F">
        <w:t>programme</w:t>
      </w:r>
      <w:r w:rsidR="00CC568E">
        <w:t xml:space="preserve"> that is embedded into </w:t>
      </w:r>
      <w:r w:rsidR="0081274F">
        <w:t>induction practices in the school</w:t>
      </w:r>
      <w:r w:rsidR="008F7B17">
        <w:t>.</w:t>
      </w:r>
    </w:p>
    <w:p w14:paraId="74C5D36D" w14:textId="77777777" w:rsidR="00504FD6" w:rsidRDefault="00504FD6" w:rsidP="00A33E0A">
      <w:pPr>
        <w:jc w:val="both"/>
      </w:pPr>
    </w:p>
    <w:p w14:paraId="644CF66E" w14:textId="44DCE3B3" w:rsidR="00504FD6" w:rsidRPr="007C0E67" w:rsidRDefault="00504FD6" w:rsidP="00A33E0A">
      <w:pPr>
        <w:jc w:val="both"/>
        <w:rPr>
          <w:b/>
          <w:bCs/>
          <w:i/>
          <w:iCs/>
        </w:rPr>
      </w:pPr>
      <w:r w:rsidRPr="007C0E67">
        <w:rPr>
          <w:b/>
          <w:bCs/>
          <w:i/>
          <w:iCs/>
        </w:rPr>
        <w:t xml:space="preserve">Schools </w:t>
      </w:r>
      <w:r w:rsidR="002B663B">
        <w:rPr>
          <w:b/>
          <w:bCs/>
          <w:i/>
          <w:iCs/>
        </w:rPr>
        <w:t>should</w:t>
      </w:r>
      <w:r w:rsidRPr="007C0E67">
        <w:rPr>
          <w:b/>
          <w:bCs/>
          <w:i/>
          <w:iCs/>
        </w:rPr>
        <w:t xml:space="preserve"> </w:t>
      </w:r>
      <w:r w:rsidR="007B61D4" w:rsidRPr="007C0E67">
        <w:rPr>
          <w:b/>
          <w:bCs/>
          <w:i/>
          <w:iCs/>
        </w:rPr>
        <w:t>include the specific detail</w:t>
      </w:r>
      <w:r w:rsidR="001E5FC8" w:rsidRPr="007C0E67">
        <w:rPr>
          <w:b/>
          <w:bCs/>
          <w:i/>
          <w:iCs/>
        </w:rPr>
        <w:t xml:space="preserve">s </w:t>
      </w:r>
      <w:r w:rsidR="00281A34" w:rsidRPr="007C0E67">
        <w:rPr>
          <w:b/>
          <w:bCs/>
          <w:i/>
          <w:iCs/>
        </w:rPr>
        <w:t>relevant to their school</w:t>
      </w:r>
      <w:r w:rsidR="003D0858">
        <w:rPr>
          <w:b/>
          <w:bCs/>
          <w:i/>
          <w:iCs/>
        </w:rPr>
        <w:t xml:space="preserve"> </w:t>
      </w:r>
      <w:r w:rsidR="001E5FC8" w:rsidRPr="007C0E67">
        <w:rPr>
          <w:b/>
          <w:bCs/>
          <w:i/>
          <w:iCs/>
        </w:rPr>
        <w:t>from the information below</w:t>
      </w:r>
      <w:r w:rsidR="008F7B17">
        <w:rPr>
          <w:b/>
          <w:bCs/>
          <w:i/>
          <w:iCs/>
        </w:rPr>
        <w:t>:</w:t>
      </w:r>
    </w:p>
    <w:p w14:paraId="7796C149" w14:textId="77777777" w:rsidR="0081274F" w:rsidRDefault="0081274F" w:rsidP="00A33E0A">
      <w:pPr>
        <w:jc w:val="both"/>
      </w:pPr>
    </w:p>
    <w:p w14:paraId="6D81F9DD" w14:textId="17765C89" w:rsidR="0081274F" w:rsidRDefault="0081274F" w:rsidP="00A33E0A">
      <w:pPr>
        <w:jc w:val="both"/>
      </w:pPr>
      <w:r>
        <w:t xml:space="preserve">The school </w:t>
      </w:r>
      <w:r w:rsidR="0052407A">
        <w:t xml:space="preserve">will </w:t>
      </w:r>
      <w:r w:rsidR="00900CCE">
        <w:t xml:space="preserve">follow a </w:t>
      </w:r>
      <w:r w:rsidR="00900CCE" w:rsidRPr="002B663B">
        <w:rPr>
          <w:i/>
        </w:rPr>
        <w:t>provider-led Full Induction Programme</w:t>
      </w:r>
      <w:r w:rsidR="008F7B17">
        <w:rPr>
          <w:i/>
        </w:rPr>
        <w:t xml:space="preserve"> or a </w:t>
      </w:r>
      <w:r w:rsidR="00467058" w:rsidRPr="002B663B">
        <w:rPr>
          <w:i/>
        </w:rPr>
        <w:t>Core-induction Programme</w:t>
      </w:r>
      <w:r w:rsidR="007E5276" w:rsidRPr="002B663B">
        <w:rPr>
          <w:i/>
        </w:rPr>
        <w:t xml:space="preserve"> that follows resources from </w:t>
      </w:r>
      <w:r w:rsidR="009F5130" w:rsidRPr="002B663B">
        <w:rPr>
          <w:i/>
        </w:rPr>
        <w:t>an accredited provider</w:t>
      </w:r>
      <w:r w:rsidR="00476EBB">
        <w:rPr>
          <w:i/>
        </w:rPr>
        <w:t xml:space="preserve"> or a </w:t>
      </w:r>
      <w:r w:rsidR="00467058" w:rsidRPr="002B663B">
        <w:rPr>
          <w:i/>
        </w:rPr>
        <w:t xml:space="preserve">school designed, </w:t>
      </w:r>
      <w:r w:rsidR="00CD0DFB" w:rsidRPr="002B663B">
        <w:rPr>
          <w:i/>
        </w:rPr>
        <w:t>developed,</w:t>
      </w:r>
      <w:r w:rsidR="00467058" w:rsidRPr="002B663B">
        <w:rPr>
          <w:i/>
        </w:rPr>
        <w:t xml:space="preserve"> and delivered programme</w:t>
      </w:r>
      <w:r w:rsidR="00013B0B" w:rsidRPr="002B663B">
        <w:rPr>
          <w:i/>
        </w:rPr>
        <w:t xml:space="preserve"> based on the ECF</w:t>
      </w:r>
      <w:r w:rsidR="00CD0DFB" w:rsidRPr="002B663B">
        <w:rPr>
          <w:i/>
        </w:rPr>
        <w:t>.</w:t>
      </w:r>
    </w:p>
    <w:p w14:paraId="2E5B864D" w14:textId="77777777" w:rsidR="001542AF" w:rsidRDefault="001542AF" w:rsidP="00A33E0A">
      <w:pPr>
        <w:jc w:val="both"/>
      </w:pPr>
    </w:p>
    <w:p w14:paraId="083C0AEC" w14:textId="7E7FD2B2" w:rsidR="001542AF" w:rsidRDefault="001542AF" w:rsidP="00A33E0A">
      <w:pPr>
        <w:jc w:val="both"/>
      </w:pPr>
      <w:r>
        <w:t>The Full Induction Programme Provider is</w:t>
      </w:r>
      <w:r w:rsidR="00FA6998">
        <w:t xml:space="preserve"> an approved provider</w:t>
      </w:r>
      <w:r w:rsidR="00D83E66">
        <w:t>, please see table 1 below</w:t>
      </w:r>
      <w:r w:rsidR="00C45EBC">
        <w:t>.</w:t>
      </w:r>
    </w:p>
    <w:p w14:paraId="44BC3A91" w14:textId="77777777" w:rsidR="00594444" w:rsidRDefault="00594444" w:rsidP="00A33E0A">
      <w:pPr>
        <w:jc w:val="both"/>
      </w:pPr>
    </w:p>
    <w:p w14:paraId="041F9F7A" w14:textId="222FCDAC" w:rsidR="00594444" w:rsidRDefault="00594444" w:rsidP="00A33E0A">
      <w:pPr>
        <w:jc w:val="both"/>
      </w:pPr>
      <w:r>
        <w:t xml:space="preserve">The Core-induction Programme resources the school will follow are </w:t>
      </w:r>
      <w:r w:rsidRPr="002B663B">
        <w:rPr>
          <w:i/>
        </w:rPr>
        <w:t xml:space="preserve">Ambition </w:t>
      </w:r>
      <w:r w:rsidR="003D0858" w:rsidRPr="002B663B">
        <w:rPr>
          <w:i/>
        </w:rPr>
        <w:t>Institute</w:t>
      </w:r>
      <w:r w:rsidR="003D0858">
        <w:rPr>
          <w:i/>
        </w:rPr>
        <w:t xml:space="preserve">, </w:t>
      </w:r>
      <w:r w:rsidR="003D0858" w:rsidRPr="002B663B">
        <w:rPr>
          <w:i/>
        </w:rPr>
        <w:t>Education</w:t>
      </w:r>
      <w:r w:rsidR="004865CF" w:rsidRPr="002B663B">
        <w:rPr>
          <w:i/>
        </w:rPr>
        <w:t xml:space="preserve"> Development Trust</w:t>
      </w:r>
      <w:r w:rsidR="00476EBB">
        <w:rPr>
          <w:i/>
        </w:rPr>
        <w:t xml:space="preserve">, </w:t>
      </w:r>
      <w:r w:rsidR="000920A5" w:rsidRPr="002B663B">
        <w:rPr>
          <w:i/>
        </w:rPr>
        <w:t>Teach First</w:t>
      </w:r>
      <w:r w:rsidR="00476EBB">
        <w:rPr>
          <w:i/>
        </w:rPr>
        <w:t xml:space="preserve">, </w:t>
      </w:r>
      <w:r w:rsidR="00C12570" w:rsidRPr="002B663B">
        <w:rPr>
          <w:i/>
        </w:rPr>
        <w:t xml:space="preserve">University College </w:t>
      </w:r>
      <w:r w:rsidR="003D0858" w:rsidRPr="002B663B">
        <w:rPr>
          <w:i/>
        </w:rPr>
        <w:t>Lo</w:t>
      </w:r>
      <w:r w:rsidR="003D0858">
        <w:rPr>
          <w:i/>
        </w:rPr>
        <w:t xml:space="preserve">ndon </w:t>
      </w:r>
      <w:r w:rsidR="003D0858" w:rsidRPr="002B663B">
        <w:rPr>
          <w:i/>
        </w:rPr>
        <w:t>Institute</w:t>
      </w:r>
      <w:r w:rsidR="00886A87" w:rsidRPr="002B663B">
        <w:rPr>
          <w:i/>
        </w:rPr>
        <w:t xml:space="preserve"> of Education</w:t>
      </w:r>
      <w:r w:rsidR="00A16C83" w:rsidRPr="002B663B">
        <w:rPr>
          <w:i/>
        </w:rPr>
        <w:t xml:space="preserve">, these have been </w:t>
      </w:r>
      <w:r w:rsidR="009307C4" w:rsidRPr="002B663B">
        <w:rPr>
          <w:i/>
        </w:rPr>
        <w:t>accredited</w:t>
      </w:r>
      <w:r w:rsidR="00A16C83" w:rsidRPr="002B663B">
        <w:rPr>
          <w:i/>
        </w:rPr>
        <w:t xml:space="preserve"> by the DfE and </w:t>
      </w:r>
      <w:r w:rsidR="000D3E06" w:rsidRPr="002B663B">
        <w:rPr>
          <w:i/>
        </w:rPr>
        <w:t xml:space="preserve">validated </w:t>
      </w:r>
      <w:r w:rsidR="00A16C83" w:rsidRPr="002B663B">
        <w:rPr>
          <w:i/>
        </w:rPr>
        <w:t xml:space="preserve">by the </w:t>
      </w:r>
      <w:r w:rsidR="00D90B5A" w:rsidRPr="002B663B">
        <w:rPr>
          <w:i/>
        </w:rPr>
        <w:t>Education Endowment Fund.</w:t>
      </w:r>
    </w:p>
    <w:p w14:paraId="4C35B3C8" w14:textId="77777777" w:rsidR="00CB371C" w:rsidRDefault="00CB371C" w:rsidP="00A33E0A">
      <w:pPr>
        <w:jc w:val="both"/>
      </w:pPr>
    </w:p>
    <w:p w14:paraId="433EDCCB" w14:textId="6D599BF1" w:rsidR="002B663B" w:rsidRDefault="002B663B" w:rsidP="00A33E0A">
      <w:pPr>
        <w:jc w:val="both"/>
        <w:rPr>
          <w:i/>
        </w:rPr>
      </w:pPr>
      <w:r w:rsidRPr="00B6177F">
        <w:rPr>
          <w:i/>
        </w:rPr>
        <w:t xml:space="preserve">The school will follow </w:t>
      </w:r>
      <w:r w:rsidR="00B6177F" w:rsidRPr="00B6177F">
        <w:rPr>
          <w:i/>
        </w:rPr>
        <w:t xml:space="preserve">a school designed, </w:t>
      </w:r>
      <w:r w:rsidR="00AE42E1" w:rsidRPr="00B6177F">
        <w:rPr>
          <w:i/>
        </w:rPr>
        <w:t>developed,</w:t>
      </w:r>
      <w:r w:rsidR="00B6177F" w:rsidRPr="00B6177F">
        <w:rPr>
          <w:i/>
        </w:rPr>
        <w:t xml:space="preserve"> and delivered programme that is closely based on the ECF</w:t>
      </w:r>
      <w:r w:rsidR="00F06931">
        <w:rPr>
          <w:i/>
        </w:rPr>
        <w:t xml:space="preserve"> including </w:t>
      </w:r>
      <w:r w:rsidR="00DF037C">
        <w:rPr>
          <w:i/>
        </w:rPr>
        <w:t>‘</w:t>
      </w:r>
      <w:r w:rsidR="00F06931">
        <w:rPr>
          <w:i/>
        </w:rPr>
        <w:t>Lear</w:t>
      </w:r>
      <w:r w:rsidR="00DF037C">
        <w:rPr>
          <w:i/>
        </w:rPr>
        <w:t>n</w:t>
      </w:r>
      <w:r w:rsidR="00F06931">
        <w:rPr>
          <w:i/>
        </w:rPr>
        <w:t xml:space="preserve"> that</w:t>
      </w:r>
      <w:r w:rsidR="00F00938">
        <w:rPr>
          <w:i/>
        </w:rPr>
        <w:t xml:space="preserve"> …</w:t>
      </w:r>
      <w:r w:rsidR="00DF037C">
        <w:rPr>
          <w:i/>
        </w:rPr>
        <w:t>’</w:t>
      </w:r>
      <w:r w:rsidR="00F06931">
        <w:rPr>
          <w:i/>
        </w:rPr>
        <w:t xml:space="preserve"> and </w:t>
      </w:r>
      <w:r w:rsidR="00F00938">
        <w:rPr>
          <w:i/>
        </w:rPr>
        <w:t>‘</w:t>
      </w:r>
      <w:r w:rsidR="00F06931">
        <w:rPr>
          <w:i/>
        </w:rPr>
        <w:t xml:space="preserve">Learn </w:t>
      </w:r>
      <w:r w:rsidR="00F00938">
        <w:rPr>
          <w:i/>
        </w:rPr>
        <w:t>h</w:t>
      </w:r>
      <w:r w:rsidR="00F06931">
        <w:rPr>
          <w:i/>
        </w:rPr>
        <w:t xml:space="preserve">ow </w:t>
      </w:r>
      <w:r w:rsidR="00A93704">
        <w:rPr>
          <w:i/>
        </w:rPr>
        <w:t>to</w:t>
      </w:r>
      <w:r w:rsidR="00F00938">
        <w:rPr>
          <w:i/>
        </w:rPr>
        <w:t xml:space="preserve"> …’</w:t>
      </w:r>
      <w:r w:rsidR="00DF037C">
        <w:rPr>
          <w:i/>
        </w:rPr>
        <w:t xml:space="preserve"> statements,</w:t>
      </w:r>
      <w:r w:rsidR="008862AE">
        <w:rPr>
          <w:i/>
        </w:rPr>
        <w:t xml:space="preserve"> </w:t>
      </w:r>
      <w:r w:rsidR="00302CE1">
        <w:rPr>
          <w:i/>
        </w:rPr>
        <w:t xml:space="preserve">founded on </w:t>
      </w:r>
      <w:r w:rsidR="009A3CC1">
        <w:rPr>
          <w:i/>
        </w:rPr>
        <w:t xml:space="preserve">evidence </w:t>
      </w:r>
      <w:r w:rsidR="00302CE1">
        <w:rPr>
          <w:i/>
        </w:rPr>
        <w:t xml:space="preserve">and </w:t>
      </w:r>
      <w:r w:rsidR="009A3CC1">
        <w:rPr>
          <w:i/>
        </w:rPr>
        <w:t xml:space="preserve">with reference to </w:t>
      </w:r>
      <w:r w:rsidR="00B70CAB">
        <w:rPr>
          <w:i/>
        </w:rPr>
        <w:t>recent research</w:t>
      </w:r>
      <w:r w:rsidR="00F06931">
        <w:rPr>
          <w:i/>
        </w:rPr>
        <w:t>.</w:t>
      </w:r>
    </w:p>
    <w:p w14:paraId="5DA9291E" w14:textId="77777777" w:rsidR="00B6177F" w:rsidRDefault="00B6177F" w:rsidP="00A33E0A">
      <w:pPr>
        <w:jc w:val="both"/>
        <w:rPr>
          <w:i/>
        </w:rPr>
      </w:pPr>
    </w:p>
    <w:p w14:paraId="3D9B47C7" w14:textId="19852F46" w:rsidR="00B6177F" w:rsidRPr="00B6177F" w:rsidRDefault="00B6177F" w:rsidP="00A33E0A">
      <w:pPr>
        <w:jc w:val="both"/>
        <w:rPr>
          <w:i/>
        </w:rPr>
      </w:pPr>
      <w:r>
        <w:rPr>
          <w:i/>
        </w:rPr>
        <w:t>As</w:t>
      </w:r>
      <w:r w:rsidR="00476EBB">
        <w:rPr>
          <w:i/>
        </w:rPr>
        <w:t xml:space="preserve"> the </w:t>
      </w:r>
      <w:r>
        <w:rPr>
          <w:i/>
        </w:rPr>
        <w:t>school is following (</w:t>
      </w:r>
      <w:r w:rsidR="00476EBB">
        <w:rPr>
          <w:i/>
        </w:rPr>
        <w:t xml:space="preserve">a </w:t>
      </w:r>
      <w:r>
        <w:rPr>
          <w:i/>
        </w:rPr>
        <w:t>core induction programme</w:t>
      </w:r>
      <w:r w:rsidR="00A8248C">
        <w:rPr>
          <w:i/>
        </w:rPr>
        <w:t xml:space="preserve"> or </w:t>
      </w:r>
      <w:r w:rsidR="00476EBB">
        <w:rPr>
          <w:i/>
        </w:rPr>
        <w:t xml:space="preserve">a </w:t>
      </w:r>
      <w:r>
        <w:rPr>
          <w:i/>
        </w:rPr>
        <w:t>school designed</w:t>
      </w:r>
      <w:r w:rsidR="00A8248C">
        <w:rPr>
          <w:i/>
        </w:rPr>
        <w:t xml:space="preserve">, </w:t>
      </w:r>
      <w:r w:rsidR="003D0858">
        <w:rPr>
          <w:i/>
        </w:rPr>
        <w:t>developed,</w:t>
      </w:r>
      <w:r>
        <w:rPr>
          <w:i/>
        </w:rPr>
        <w:t xml:space="preserve"> and delivered programme</w:t>
      </w:r>
      <w:r w:rsidR="00476EBB">
        <w:rPr>
          <w:i/>
        </w:rPr>
        <w:t>),</w:t>
      </w:r>
      <w:r w:rsidR="00CA6091">
        <w:rPr>
          <w:i/>
        </w:rPr>
        <w:t xml:space="preserve"> we welcome </w:t>
      </w:r>
      <w:r w:rsidR="00A8248C">
        <w:rPr>
          <w:i/>
        </w:rPr>
        <w:t xml:space="preserve">and will actively participate in </w:t>
      </w:r>
      <w:r w:rsidR="00CA6091">
        <w:rPr>
          <w:i/>
        </w:rPr>
        <w:t>the fidelity checks and quality assurance visits</w:t>
      </w:r>
      <w:r w:rsidR="00994C7E">
        <w:rPr>
          <w:i/>
        </w:rPr>
        <w:t xml:space="preserve"> undertaken by</w:t>
      </w:r>
      <w:r w:rsidR="00CA6091">
        <w:rPr>
          <w:i/>
        </w:rPr>
        <w:t xml:space="preserve"> the Appropriate Body. This will assure our ECTs and school community that the school is demonstrating fidelity to an ECF-based induction and training programme.</w:t>
      </w:r>
    </w:p>
    <w:p w14:paraId="091D7C02" w14:textId="40295025" w:rsidR="00CB371C" w:rsidRDefault="00CB371C">
      <w:pPr>
        <w:jc w:val="both"/>
      </w:pPr>
    </w:p>
    <w:p w14:paraId="4BE1F857" w14:textId="77777777" w:rsidR="00F572D3" w:rsidRDefault="00F572D3" w:rsidP="00A33E0A">
      <w:pPr>
        <w:jc w:val="both"/>
      </w:pPr>
    </w:p>
    <w:p w14:paraId="4B2AFC9E" w14:textId="6084D821" w:rsidR="009307C4" w:rsidRPr="0040301F" w:rsidRDefault="00CA6091" w:rsidP="00A33E0A">
      <w:pPr>
        <w:jc w:val="both"/>
        <w:rPr>
          <w:b/>
        </w:rPr>
      </w:pPr>
      <w:r w:rsidRPr="0040301F">
        <w:rPr>
          <w:b/>
        </w:rPr>
        <w:t xml:space="preserve">Monitoring, </w:t>
      </w:r>
      <w:r w:rsidR="009A3CC1" w:rsidRPr="0040301F">
        <w:rPr>
          <w:b/>
        </w:rPr>
        <w:t>assessment,</w:t>
      </w:r>
      <w:r w:rsidRPr="0040301F">
        <w:rPr>
          <w:b/>
        </w:rPr>
        <w:t xml:space="preserve"> and reporting</w:t>
      </w:r>
    </w:p>
    <w:p w14:paraId="4B2A1376" w14:textId="7C108BB1" w:rsidR="00CA6091" w:rsidRDefault="0040301F" w:rsidP="00A33E0A">
      <w:pPr>
        <w:jc w:val="both"/>
      </w:pPr>
      <w:r>
        <w:t xml:space="preserve">The </w:t>
      </w:r>
      <w:r w:rsidR="00F572D3">
        <w:t>I</w:t>
      </w:r>
      <w:r>
        <w:t>nduction tutor and ECT will undertake a professional review of practice by</w:t>
      </w:r>
      <w:r w:rsidR="006503DF">
        <w:t xml:space="preserve"> each</w:t>
      </w:r>
      <w:r>
        <w:t xml:space="preserve"> half-term</w:t>
      </w:r>
      <w:r w:rsidR="006503DF">
        <w:t>.</w:t>
      </w:r>
      <w:r w:rsidR="00F572D3">
        <w:t xml:space="preserve"> </w:t>
      </w:r>
      <w:r>
        <w:t>These will support</w:t>
      </w:r>
      <w:r w:rsidR="00F572D3">
        <w:t xml:space="preserve"> the</w:t>
      </w:r>
      <w:r>
        <w:t xml:space="preserve"> ECT and induction tutor to gather evidence related to </w:t>
      </w:r>
      <w:r>
        <w:lastRenderedPageBreak/>
        <w:t xml:space="preserve">the Teachers’ Standards and will be used to write formal reports. These will be uploaded to </w:t>
      </w:r>
      <w:r w:rsidR="00F572D3">
        <w:t>‘</w:t>
      </w:r>
      <w:r>
        <w:t>ECT Manager</w:t>
      </w:r>
      <w:r w:rsidR="00F572D3">
        <w:t>’</w:t>
      </w:r>
      <w:r w:rsidR="00AD7D5E">
        <w:t>.</w:t>
      </w:r>
    </w:p>
    <w:p w14:paraId="28397C72" w14:textId="77777777" w:rsidR="0040301F" w:rsidRDefault="0040301F" w:rsidP="00A33E0A">
      <w:pPr>
        <w:jc w:val="both"/>
      </w:pPr>
    </w:p>
    <w:p w14:paraId="4067EE71" w14:textId="4CFEAFD1" w:rsidR="00036E6C" w:rsidRDefault="00036E6C" w:rsidP="00A33E0A">
      <w:pPr>
        <w:jc w:val="both"/>
      </w:pPr>
      <w:r>
        <w:t>P</w:t>
      </w:r>
      <w:r w:rsidR="0040301F">
        <w:t xml:space="preserve">rogress reviews will be completed via </w:t>
      </w:r>
      <w:r w:rsidR="00F572D3">
        <w:t>‘</w:t>
      </w:r>
      <w:r w:rsidR="0040301F">
        <w:t>ECT Manager</w:t>
      </w:r>
      <w:r w:rsidR="00F572D3">
        <w:t>’</w:t>
      </w:r>
      <w:r w:rsidR="0040301F">
        <w:t xml:space="preserve"> </w:t>
      </w:r>
      <w:r w:rsidR="004B16B4">
        <w:t>by December</w:t>
      </w:r>
      <w:r w:rsidR="0040301F">
        <w:t xml:space="preserve"> </w:t>
      </w:r>
      <w:r w:rsidR="009579B7">
        <w:t>and April</w:t>
      </w:r>
      <w:r w:rsidR="0040301F">
        <w:t xml:space="preserve"> </w:t>
      </w:r>
      <w:r>
        <w:t>for all ECTs.</w:t>
      </w:r>
    </w:p>
    <w:p w14:paraId="231F0FC8" w14:textId="77777777" w:rsidR="002B73DA" w:rsidRDefault="002B73DA" w:rsidP="00A33E0A">
      <w:pPr>
        <w:jc w:val="both"/>
      </w:pPr>
    </w:p>
    <w:p w14:paraId="6E333466" w14:textId="6DEE7BFE" w:rsidR="00036E6C" w:rsidRPr="00036E6C" w:rsidRDefault="00036E6C" w:rsidP="00A33E0A">
      <w:pPr>
        <w:jc w:val="both"/>
        <w:rPr>
          <w:i/>
        </w:rPr>
      </w:pPr>
      <w:r w:rsidRPr="00036E6C">
        <w:rPr>
          <w:i/>
        </w:rPr>
        <w:t>For information only</w:t>
      </w:r>
      <w:r w:rsidR="00F572D3">
        <w:rPr>
          <w:i/>
        </w:rPr>
        <w:t>,</w:t>
      </w:r>
      <w:r w:rsidRPr="00036E6C">
        <w:rPr>
          <w:i/>
        </w:rPr>
        <w:t xml:space="preserve"> rather than inclusion in the policy: </w:t>
      </w:r>
      <w:r w:rsidR="00AD7D5E">
        <w:rPr>
          <w:i/>
        </w:rPr>
        <w:t>for part time ECTs s</w:t>
      </w:r>
      <w:r w:rsidRPr="00036E6C">
        <w:rPr>
          <w:i/>
        </w:rPr>
        <w:t>tatutory guidance suggests that progress reviews are completed at the end of each term there is not a formal assessment</w:t>
      </w:r>
      <w:r w:rsidR="00CA056D">
        <w:rPr>
          <w:i/>
        </w:rPr>
        <w:t>,</w:t>
      </w:r>
      <w:r w:rsidRPr="00036E6C">
        <w:rPr>
          <w:i/>
        </w:rPr>
        <w:t xml:space="preserve"> rather than on a pro-rata basis</w:t>
      </w:r>
      <w:r w:rsidR="00CA056D">
        <w:rPr>
          <w:i/>
        </w:rPr>
        <w:t>.</w:t>
      </w:r>
    </w:p>
    <w:p w14:paraId="3D6E149B" w14:textId="77777777" w:rsidR="00036E6C" w:rsidRDefault="00036E6C" w:rsidP="00A33E0A">
      <w:pPr>
        <w:jc w:val="both"/>
      </w:pPr>
    </w:p>
    <w:p w14:paraId="43195959" w14:textId="21CBFB3E" w:rsidR="00036E6C" w:rsidRPr="00AD7D5E" w:rsidRDefault="00036E6C" w:rsidP="00A33E0A">
      <w:pPr>
        <w:jc w:val="both"/>
        <w:rPr>
          <w:i/>
          <w:iCs/>
        </w:rPr>
      </w:pPr>
      <w:r>
        <w:t>The first formal report will be completed by</w:t>
      </w:r>
      <w:r w:rsidR="00F572D3">
        <w:t xml:space="preserve"> </w:t>
      </w:r>
      <w:r>
        <w:t xml:space="preserve">July for full time ECTs </w:t>
      </w:r>
      <w:r w:rsidRPr="00AD7D5E">
        <w:rPr>
          <w:i/>
          <w:iCs/>
        </w:rPr>
        <w:t>(adjust as appropriate for your school. ECT Manager will generate the date of the first formal assessment for any part-time ECTs)</w:t>
      </w:r>
      <w:r w:rsidR="00F572D3">
        <w:rPr>
          <w:i/>
          <w:iCs/>
        </w:rPr>
        <w:t>.</w:t>
      </w:r>
    </w:p>
    <w:p w14:paraId="3E857968" w14:textId="77777777" w:rsidR="00BB4744" w:rsidRDefault="00BB4744" w:rsidP="00A33E0A">
      <w:pPr>
        <w:jc w:val="both"/>
      </w:pPr>
    </w:p>
    <w:p w14:paraId="218F6EF6" w14:textId="77777777" w:rsidR="00BB4744" w:rsidRPr="006B0F0E" w:rsidRDefault="00BB4744" w:rsidP="00A33E0A">
      <w:pPr>
        <w:jc w:val="both"/>
        <w:rPr>
          <w:b/>
        </w:rPr>
      </w:pPr>
      <w:r w:rsidRPr="006B0F0E">
        <w:rPr>
          <w:b/>
        </w:rPr>
        <w:t>Appropriate Body</w:t>
      </w:r>
    </w:p>
    <w:p w14:paraId="59FD5B04" w14:textId="15B5CE80" w:rsidR="00120D82" w:rsidRPr="003716BB" w:rsidRDefault="00BB4744" w:rsidP="00A33E0A">
      <w:pPr>
        <w:jc w:val="both"/>
        <w:rPr>
          <w:rFonts w:ascii="Calibri" w:hAnsi="Calibri" w:cs="Calibri"/>
          <w:sz w:val="22"/>
        </w:rPr>
      </w:pPr>
      <w:r>
        <w:t>The Appropriate Body has the main quality assurance role for statutory induction. The school will work with the Appropriate Body by</w:t>
      </w:r>
      <w:r w:rsidRPr="00225DB8">
        <w:rPr>
          <w:rFonts w:ascii="Calibri" w:hAnsi="Calibri" w:cs="Calibri"/>
          <w:sz w:val="22"/>
        </w:rPr>
        <w:t xml:space="preserve"> </w:t>
      </w:r>
      <w:r w:rsidRPr="00BB4744">
        <w:rPr>
          <w:rFonts w:cs="Arial"/>
          <w:szCs w:val="24"/>
        </w:rPr>
        <w:t>participating in quality assurance visits</w:t>
      </w:r>
      <w:r w:rsidR="006B0F0E">
        <w:rPr>
          <w:rFonts w:cs="Arial"/>
          <w:szCs w:val="24"/>
        </w:rPr>
        <w:t xml:space="preserve">, </w:t>
      </w:r>
      <w:r w:rsidRPr="00BB4744">
        <w:rPr>
          <w:rFonts w:cs="Arial"/>
          <w:szCs w:val="24"/>
        </w:rPr>
        <w:t>phone calls and requests for information as appropriate.</w:t>
      </w:r>
    </w:p>
    <w:p w14:paraId="17B3B6D7" w14:textId="77777777" w:rsidR="00BB4744" w:rsidRDefault="00BB4744" w:rsidP="00A33E0A">
      <w:pPr>
        <w:jc w:val="both"/>
        <w:rPr>
          <w:rFonts w:ascii="Calibri" w:hAnsi="Calibri" w:cs="Calibri"/>
          <w:sz w:val="22"/>
        </w:rPr>
      </w:pPr>
    </w:p>
    <w:p w14:paraId="1288A3AD" w14:textId="1EFBF0A7" w:rsidR="009D08C1" w:rsidRPr="00A33E0A" w:rsidRDefault="00D83E66" w:rsidP="00A33E0A">
      <w:pPr>
        <w:jc w:val="both"/>
        <w:rPr>
          <w:rFonts w:cs="Arial"/>
          <w:szCs w:val="24"/>
        </w:rPr>
      </w:pPr>
      <w:r w:rsidRPr="00A33E0A">
        <w:rPr>
          <w:rFonts w:cs="Arial"/>
          <w:szCs w:val="24"/>
        </w:rPr>
        <w:t>Table 1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451"/>
        <w:gridCol w:w="1939"/>
        <w:gridCol w:w="4864"/>
      </w:tblGrid>
      <w:tr w:rsidR="002525EF" w:rsidRPr="00F572D3" w14:paraId="6F94AFDA" w14:textId="77777777" w:rsidTr="00456D86">
        <w:trPr>
          <w:trHeight w:val="590"/>
        </w:trPr>
        <w:tc>
          <w:tcPr>
            <w:tcW w:w="2451" w:type="dxa"/>
          </w:tcPr>
          <w:p w14:paraId="5546211A" w14:textId="785CA4A1" w:rsidR="002525EF" w:rsidRPr="00A33E0A" w:rsidRDefault="002525EF" w:rsidP="00F572D3">
            <w:pPr>
              <w:rPr>
                <w:rFonts w:cs="Arial"/>
                <w:szCs w:val="24"/>
              </w:rPr>
            </w:pPr>
            <w:r w:rsidRPr="00A33E0A">
              <w:rPr>
                <w:rStyle w:val="Strong"/>
                <w:rFonts w:cs="Arial"/>
                <w:color w:val="212529"/>
                <w:szCs w:val="24"/>
                <w:shd w:val="clear" w:color="auto" w:fill="FFFFFF"/>
              </w:rPr>
              <w:t>Appropriate Body Name</w:t>
            </w:r>
          </w:p>
        </w:tc>
        <w:tc>
          <w:tcPr>
            <w:tcW w:w="1939" w:type="dxa"/>
          </w:tcPr>
          <w:p w14:paraId="7E70CF03" w14:textId="33CBBA94" w:rsidR="002525EF" w:rsidRPr="00A33E0A" w:rsidRDefault="00B00E6F" w:rsidP="00F572D3">
            <w:pPr>
              <w:rPr>
                <w:rFonts w:cs="Arial"/>
                <w:szCs w:val="24"/>
              </w:rPr>
            </w:pPr>
            <w:r w:rsidRPr="00A33E0A">
              <w:rPr>
                <w:rStyle w:val="Strong"/>
                <w:rFonts w:cs="Arial"/>
                <w:color w:val="212529"/>
                <w:szCs w:val="24"/>
                <w:shd w:val="clear" w:color="auto" w:fill="FFFFFF"/>
              </w:rPr>
              <w:t>Contact name</w:t>
            </w:r>
          </w:p>
        </w:tc>
        <w:tc>
          <w:tcPr>
            <w:tcW w:w="4864" w:type="dxa"/>
          </w:tcPr>
          <w:p w14:paraId="48C2ADDC" w14:textId="42C346D2" w:rsidR="002525EF" w:rsidRPr="00A33E0A" w:rsidRDefault="00B00E6F" w:rsidP="00F572D3">
            <w:pPr>
              <w:rPr>
                <w:rFonts w:cs="Arial"/>
                <w:szCs w:val="24"/>
              </w:rPr>
            </w:pPr>
            <w:r w:rsidRPr="00A33E0A">
              <w:rPr>
                <w:rStyle w:val="Strong"/>
                <w:rFonts w:cs="Arial"/>
                <w:color w:val="212529"/>
                <w:szCs w:val="24"/>
                <w:shd w:val="clear" w:color="auto" w:fill="FFFFFF"/>
              </w:rPr>
              <w:t>Contact details and websites</w:t>
            </w:r>
          </w:p>
        </w:tc>
      </w:tr>
      <w:tr w:rsidR="002525EF" w:rsidRPr="00F572D3" w14:paraId="2A8E35C6" w14:textId="77777777" w:rsidTr="00456D86">
        <w:trPr>
          <w:trHeight w:val="736"/>
        </w:trPr>
        <w:tc>
          <w:tcPr>
            <w:tcW w:w="2451" w:type="dxa"/>
          </w:tcPr>
          <w:p w14:paraId="362B43B8" w14:textId="769FCBC4" w:rsidR="002525EF" w:rsidRPr="00A33E0A" w:rsidRDefault="00B00E6F" w:rsidP="00F572D3">
            <w:pPr>
              <w:rPr>
                <w:rFonts w:cs="Arial"/>
                <w:szCs w:val="24"/>
              </w:rPr>
            </w:pPr>
            <w:r w:rsidRPr="00A33E0A">
              <w:rPr>
                <w:rFonts w:cs="Arial"/>
                <w:color w:val="212529"/>
                <w:szCs w:val="24"/>
                <w:shd w:val="clear" w:color="auto" w:fill="FFFFFF"/>
              </w:rPr>
              <w:t xml:space="preserve">Alpha </w:t>
            </w:r>
            <w:r w:rsidR="00F572D3">
              <w:rPr>
                <w:rFonts w:cs="Arial"/>
                <w:color w:val="212529"/>
                <w:szCs w:val="24"/>
                <w:shd w:val="clear" w:color="auto" w:fill="FFFFFF"/>
              </w:rPr>
              <w:t>Teaching Schoo Hub (</w:t>
            </w:r>
            <w:r w:rsidRPr="00A33E0A">
              <w:rPr>
                <w:rFonts w:cs="Arial"/>
                <w:color w:val="212529"/>
                <w:szCs w:val="24"/>
                <w:shd w:val="clear" w:color="auto" w:fill="FFFFFF"/>
              </w:rPr>
              <w:t>TSH</w:t>
            </w:r>
            <w:r w:rsidR="00F572D3">
              <w:rPr>
                <w:rFonts w:cs="Arial"/>
                <w:color w:val="212529"/>
                <w:szCs w:val="24"/>
                <w:shd w:val="clear" w:color="auto" w:fill="FFFFFF"/>
              </w:rPr>
              <w:t>)</w:t>
            </w:r>
          </w:p>
        </w:tc>
        <w:tc>
          <w:tcPr>
            <w:tcW w:w="1939" w:type="dxa"/>
          </w:tcPr>
          <w:p w14:paraId="34D1B7B2" w14:textId="48E5BFB0" w:rsidR="002525EF" w:rsidRPr="00A33E0A" w:rsidRDefault="00334693" w:rsidP="00F572D3">
            <w:pPr>
              <w:rPr>
                <w:rFonts w:cs="Arial"/>
                <w:szCs w:val="24"/>
              </w:rPr>
            </w:pPr>
            <w:r w:rsidRPr="00A33E0A">
              <w:rPr>
                <w:rFonts w:cs="Arial"/>
                <w:color w:val="212529"/>
                <w:szCs w:val="24"/>
                <w:shd w:val="clear" w:color="auto" w:fill="FFFFFF"/>
              </w:rPr>
              <w:t>Sam Torr</w:t>
            </w:r>
            <w:r w:rsidRPr="00A33E0A">
              <w:rPr>
                <w:rFonts w:cs="Arial"/>
                <w:color w:val="212529"/>
                <w:szCs w:val="24"/>
              </w:rPr>
              <w:br/>
            </w:r>
            <w:r w:rsidRPr="00A33E0A">
              <w:rPr>
                <w:rFonts w:cs="Arial"/>
                <w:color w:val="212529"/>
                <w:szCs w:val="24"/>
                <w:shd w:val="clear" w:color="auto" w:fill="FFFFFF"/>
              </w:rPr>
              <w:t>Serena Locksmith</w:t>
            </w:r>
          </w:p>
        </w:tc>
        <w:tc>
          <w:tcPr>
            <w:tcW w:w="4864" w:type="dxa"/>
          </w:tcPr>
          <w:p w14:paraId="6C80F6F0" w14:textId="72BD7B85" w:rsidR="002525EF" w:rsidRPr="00A33E0A" w:rsidRDefault="006D49E0" w:rsidP="00F572D3">
            <w:pPr>
              <w:rPr>
                <w:rFonts w:cs="Arial"/>
                <w:szCs w:val="24"/>
              </w:rPr>
            </w:pPr>
            <w:hyperlink r:id="rId11" w:history="1">
              <w:r w:rsidR="00334693" w:rsidRPr="00A33E0A">
                <w:rPr>
                  <w:rStyle w:val="Hyperlink"/>
                  <w:rFonts w:cs="Arial"/>
                  <w:szCs w:val="24"/>
                </w:rPr>
                <w:t>storr@cchsg.org.uk</w:t>
              </w:r>
            </w:hyperlink>
            <w:r w:rsidR="00334693" w:rsidRPr="00A33E0A">
              <w:rPr>
                <w:rFonts w:cs="Arial"/>
                <w:szCs w:val="24"/>
              </w:rPr>
              <w:br/>
            </w:r>
            <w:hyperlink r:id="rId12" w:history="1">
              <w:r w:rsidR="00334693" w:rsidRPr="00A33E0A">
                <w:rPr>
                  <w:rStyle w:val="Hyperlink"/>
                  <w:rFonts w:cs="Arial"/>
                  <w:szCs w:val="24"/>
                </w:rPr>
                <w:t>slocksmith@alphatsh.org</w:t>
              </w:r>
            </w:hyperlink>
            <w:r w:rsidR="00334693" w:rsidRPr="00A33E0A">
              <w:rPr>
                <w:rFonts w:cs="Arial"/>
                <w:szCs w:val="24"/>
              </w:rPr>
              <w:br/>
            </w:r>
            <w:hyperlink r:id="rId13" w:history="1">
              <w:r w:rsidR="00334693" w:rsidRPr="00A33E0A">
                <w:rPr>
                  <w:rStyle w:val="Hyperlink"/>
                  <w:rFonts w:cs="Arial"/>
                  <w:szCs w:val="24"/>
                </w:rPr>
                <w:t>alphatsh.org</w:t>
              </w:r>
            </w:hyperlink>
          </w:p>
        </w:tc>
      </w:tr>
      <w:tr w:rsidR="002525EF" w:rsidRPr="00F572D3" w14:paraId="778C8BD2" w14:textId="77777777" w:rsidTr="00456D86">
        <w:trPr>
          <w:trHeight w:val="780"/>
        </w:trPr>
        <w:tc>
          <w:tcPr>
            <w:tcW w:w="2451" w:type="dxa"/>
          </w:tcPr>
          <w:p w14:paraId="2CB1A5A7" w14:textId="5F635F53" w:rsidR="002525EF" w:rsidRPr="00A33E0A" w:rsidRDefault="00334693" w:rsidP="00F572D3">
            <w:pPr>
              <w:rPr>
                <w:rFonts w:cs="Arial"/>
                <w:szCs w:val="24"/>
              </w:rPr>
            </w:pPr>
            <w:r w:rsidRPr="00A33E0A">
              <w:rPr>
                <w:rFonts w:cs="Arial"/>
                <w:szCs w:val="24"/>
              </w:rPr>
              <w:t>Inspiration TSH</w:t>
            </w:r>
          </w:p>
        </w:tc>
        <w:tc>
          <w:tcPr>
            <w:tcW w:w="1939" w:type="dxa"/>
          </w:tcPr>
          <w:p w14:paraId="362CBE67" w14:textId="3BA9FD8A" w:rsidR="002525EF" w:rsidRPr="00A33E0A" w:rsidRDefault="00D83E66" w:rsidP="00F572D3">
            <w:pPr>
              <w:rPr>
                <w:rFonts w:cs="Arial"/>
                <w:szCs w:val="24"/>
              </w:rPr>
            </w:pPr>
            <w:r w:rsidRPr="00A33E0A">
              <w:rPr>
                <w:rFonts w:cs="Arial"/>
                <w:szCs w:val="24"/>
              </w:rPr>
              <w:t>Carmel Greene</w:t>
            </w:r>
          </w:p>
        </w:tc>
        <w:tc>
          <w:tcPr>
            <w:tcW w:w="4864" w:type="dxa"/>
          </w:tcPr>
          <w:p w14:paraId="6D913AE0" w14:textId="56E1C8A1" w:rsidR="002525EF" w:rsidRPr="00A33E0A" w:rsidRDefault="003716BB" w:rsidP="00F572D3">
            <w:pPr>
              <w:rPr>
                <w:rFonts w:cs="Arial"/>
                <w:szCs w:val="24"/>
              </w:rPr>
            </w:pPr>
            <w:hyperlink r:id="rId14" w:history="1">
              <w:r w:rsidRPr="00C46F06">
                <w:rPr>
                  <w:rStyle w:val="Hyperlink"/>
                  <w:rFonts w:cs="Arial"/>
                  <w:szCs w:val="24"/>
                </w:rPr>
                <w:t>inspirationteachinghub@inspirationtrust.org</w:t>
              </w:r>
            </w:hyperlink>
            <w:r>
              <w:rPr>
                <w:rFonts w:cs="Arial"/>
                <w:szCs w:val="24"/>
              </w:rPr>
              <w:t xml:space="preserve"> </w:t>
            </w:r>
            <w:r w:rsidR="008770BB" w:rsidRPr="00A33E0A">
              <w:rPr>
                <w:rFonts w:cs="Arial"/>
                <w:szCs w:val="24"/>
              </w:rPr>
              <w:t xml:space="preserve">  Inspirationteachingschoolhub.org</w:t>
            </w:r>
          </w:p>
        </w:tc>
      </w:tr>
      <w:tr w:rsidR="002525EF" w:rsidRPr="00F572D3" w14:paraId="2C2AC0DA" w14:textId="77777777" w:rsidTr="00456D86">
        <w:trPr>
          <w:trHeight w:val="736"/>
        </w:trPr>
        <w:tc>
          <w:tcPr>
            <w:tcW w:w="2451" w:type="dxa"/>
          </w:tcPr>
          <w:p w14:paraId="65DCFF95" w14:textId="722572A9" w:rsidR="002525EF" w:rsidRPr="00A33E0A" w:rsidRDefault="008D14F2" w:rsidP="00F572D3">
            <w:pPr>
              <w:rPr>
                <w:rFonts w:cs="Arial"/>
                <w:szCs w:val="24"/>
              </w:rPr>
            </w:pPr>
            <w:r w:rsidRPr="00A33E0A">
              <w:rPr>
                <w:rFonts w:cs="Arial"/>
                <w:color w:val="212529"/>
                <w:szCs w:val="24"/>
                <w:shd w:val="clear" w:color="auto" w:fill="FFFFFF"/>
              </w:rPr>
              <w:t>Unity TSH</w:t>
            </w:r>
          </w:p>
        </w:tc>
        <w:tc>
          <w:tcPr>
            <w:tcW w:w="1939" w:type="dxa"/>
          </w:tcPr>
          <w:p w14:paraId="6A45E08D" w14:textId="6E4835BC" w:rsidR="002525EF" w:rsidRPr="00A33E0A" w:rsidRDefault="008D14F2" w:rsidP="00F572D3">
            <w:pPr>
              <w:rPr>
                <w:rFonts w:cs="Arial"/>
                <w:szCs w:val="24"/>
              </w:rPr>
            </w:pPr>
            <w:r w:rsidRPr="00A33E0A">
              <w:rPr>
                <w:rFonts w:cs="Arial"/>
                <w:color w:val="212529"/>
                <w:szCs w:val="24"/>
                <w:shd w:val="clear" w:color="auto" w:fill="FFFFFF"/>
              </w:rPr>
              <w:t>Celia Moore</w:t>
            </w:r>
          </w:p>
        </w:tc>
        <w:tc>
          <w:tcPr>
            <w:tcW w:w="4864" w:type="dxa"/>
          </w:tcPr>
          <w:p w14:paraId="15C470DE" w14:textId="5FDF6490" w:rsidR="002525EF" w:rsidRPr="00A33E0A" w:rsidRDefault="006D49E0" w:rsidP="00F572D3">
            <w:pPr>
              <w:rPr>
                <w:rFonts w:cs="Arial"/>
                <w:szCs w:val="24"/>
              </w:rPr>
            </w:pPr>
            <w:hyperlink r:id="rId15" w:history="1">
              <w:r w:rsidR="008D14F2" w:rsidRPr="00A33E0A">
                <w:rPr>
                  <w:rStyle w:val="Hyperlink"/>
                  <w:rFonts w:cs="Arial"/>
                  <w:szCs w:val="24"/>
                </w:rPr>
                <w:t>cmoore@unitysp.co.uk</w:t>
              </w:r>
            </w:hyperlink>
            <w:r w:rsidR="008D14F2" w:rsidRPr="00A33E0A">
              <w:rPr>
                <w:rFonts w:cs="Arial"/>
                <w:szCs w:val="24"/>
              </w:rPr>
              <w:br/>
            </w:r>
            <w:hyperlink r:id="rId16" w:history="1">
              <w:r w:rsidR="008D14F2" w:rsidRPr="00A33E0A">
                <w:rPr>
                  <w:rStyle w:val="Hyperlink"/>
                  <w:rFonts w:cs="Arial"/>
                  <w:szCs w:val="24"/>
                </w:rPr>
                <w:t>unityteachingschoolhub.net</w:t>
              </w:r>
            </w:hyperlink>
          </w:p>
        </w:tc>
      </w:tr>
    </w:tbl>
    <w:p w14:paraId="7A607B84" w14:textId="77777777" w:rsidR="00120D82" w:rsidRDefault="00120D82" w:rsidP="00A33E0A">
      <w:pPr>
        <w:jc w:val="both"/>
        <w:rPr>
          <w:rFonts w:ascii="Calibri" w:hAnsi="Calibri" w:cs="Calibri"/>
          <w:sz w:val="22"/>
        </w:rPr>
      </w:pPr>
    </w:p>
    <w:p w14:paraId="3A7217EB" w14:textId="77777777" w:rsidR="000122FB" w:rsidRDefault="000122FB" w:rsidP="00A33E0A">
      <w:pPr>
        <w:jc w:val="both"/>
      </w:pPr>
    </w:p>
    <w:p w14:paraId="460C77E6" w14:textId="77777777" w:rsidR="00F9656A" w:rsidRDefault="00A27DE0" w:rsidP="00A33E0A">
      <w:pPr>
        <w:jc w:val="both"/>
      </w:pPr>
      <w:r>
        <w:t>Policy approved by governors on _____________________</w:t>
      </w:r>
    </w:p>
    <w:p w14:paraId="6760911D" w14:textId="77777777" w:rsidR="006B0F0E" w:rsidRDefault="006B0F0E" w:rsidP="00A33E0A">
      <w:pPr>
        <w:jc w:val="both"/>
      </w:pPr>
    </w:p>
    <w:p w14:paraId="7EABE836" w14:textId="77777777" w:rsidR="00A27DE0" w:rsidRDefault="00A27DE0" w:rsidP="00A33E0A">
      <w:pPr>
        <w:jc w:val="both"/>
      </w:pPr>
      <w:r>
        <w:t xml:space="preserve">Policy </w:t>
      </w:r>
      <w:r w:rsidR="00477E2A">
        <w:t>reviewed on ________________________________</w:t>
      </w:r>
    </w:p>
    <w:p w14:paraId="23F8684A" w14:textId="77777777" w:rsidR="006B0F0E" w:rsidRDefault="006B0F0E" w:rsidP="00A33E0A">
      <w:pPr>
        <w:jc w:val="both"/>
      </w:pPr>
    </w:p>
    <w:p w14:paraId="5BA8919D" w14:textId="3B79F5C4" w:rsidR="00BA05A9" w:rsidRDefault="00990F7B" w:rsidP="00A33E0A">
      <w:pPr>
        <w:jc w:val="both"/>
      </w:pPr>
      <w:r>
        <w:t>Next review due on ________________________________</w:t>
      </w:r>
    </w:p>
    <w:p w14:paraId="714E5014" w14:textId="77777777" w:rsidR="00F84195" w:rsidRDefault="00F84195" w:rsidP="00A33E0A">
      <w:pPr>
        <w:jc w:val="both"/>
      </w:pPr>
    </w:p>
    <w:p w14:paraId="485234F6" w14:textId="77777777" w:rsidR="00F84195" w:rsidRDefault="00F84195" w:rsidP="00A33E0A">
      <w:pPr>
        <w:jc w:val="both"/>
      </w:pPr>
    </w:p>
    <w:p w14:paraId="209C44AE" w14:textId="77777777" w:rsidR="00F84195" w:rsidRDefault="00F84195" w:rsidP="00A33E0A">
      <w:pPr>
        <w:jc w:val="both"/>
      </w:pPr>
    </w:p>
    <w:p w14:paraId="71C53E3B" w14:textId="77777777" w:rsidR="00F84195" w:rsidRDefault="00F84195" w:rsidP="00A33E0A">
      <w:pPr>
        <w:jc w:val="both"/>
      </w:pPr>
    </w:p>
    <w:p w14:paraId="5D09735B" w14:textId="77777777" w:rsidR="00F84195" w:rsidRDefault="00F84195" w:rsidP="00A33E0A">
      <w:pPr>
        <w:jc w:val="both"/>
      </w:pPr>
    </w:p>
    <w:p w14:paraId="1721A4B4" w14:textId="77777777" w:rsidR="003716BB" w:rsidRDefault="003716BB" w:rsidP="00A33E0A">
      <w:pPr>
        <w:jc w:val="both"/>
      </w:pPr>
    </w:p>
    <w:p w14:paraId="3A777579" w14:textId="77777777" w:rsidR="003716BB" w:rsidRDefault="003716BB" w:rsidP="00A33E0A">
      <w:pPr>
        <w:jc w:val="both"/>
      </w:pPr>
    </w:p>
    <w:p w14:paraId="251413ED" w14:textId="77777777" w:rsidR="003716BB" w:rsidRDefault="003716BB" w:rsidP="00A33E0A">
      <w:pPr>
        <w:jc w:val="both"/>
      </w:pPr>
    </w:p>
    <w:p w14:paraId="227E81EE" w14:textId="77777777" w:rsidR="009D08C1" w:rsidRPr="00384B40" w:rsidRDefault="009D08C1" w:rsidP="009D08C1">
      <w:pPr>
        <w:pStyle w:val="Heading1"/>
        <w:rPr>
          <w:rStyle w:val="Heading1Char"/>
          <w:b/>
        </w:rPr>
      </w:pPr>
      <w:bookmarkStart w:id="0" w:name="_Toc169017752"/>
      <w:bookmarkStart w:id="1" w:name="_Toc169076233"/>
      <w:bookmarkStart w:id="2" w:name="_Toc169186863"/>
      <w:r w:rsidRPr="00384B40">
        <w:rPr>
          <w:rStyle w:val="Heading1Char"/>
          <w:b/>
        </w:rPr>
        <w:t>Document Control</w:t>
      </w:r>
      <w:bookmarkEnd w:id="0"/>
      <w:bookmarkEnd w:id="1"/>
      <w:bookmarkEnd w:id="2"/>
    </w:p>
    <w:p w14:paraId="6A4B4460" w14:textId="77777777" w:rsidR="009D08C1" w:rsidRPr="00FA4F67" w:rsidRDefault="009D08C1" w:rsidP="009D08C1">
      <w:pPr>
        <w:pStyle w:val="ListParagrap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1684"/>
        <w:gridCol w:w="1793"/>
        <w:gridCol w:w="4467"/>
      </w:tblGrid>
      <w:tr w:rsidR="009D08C1" w:rsidRPr="006D5568" w14:paraId="25BEB368" w14:textId="77777777" w:rsidTr="009D08C1">
        <w:tc>
          <w:tcPr>
            <w:tcW w:w="1091" w:type="dxa"/>
          </w:tcPr>
          <w:p w14:paraId="648B0A90" w14:textId="5178D048" w:rsidR="009D08C1" w:rsidRPr="006D5568" w:rsidRDefault="009D08C1" w:rsidP="009D08C1">
            <w:pPr>
              <w:pStyle w:val="ABCNormal"/>
              <w:spacing w:after="0"/>
              <w:rPr>
                <w:rFonts w:cs="Arial"/>
                <w:b/>
                <w:sz w:val="24"/>
                <w:szCs w:val="24"/>
              </w:rPr>
            </w:pPr>
            <w:r w:rsidRPr="006D5568">
              <w:rPr>
                <w:rFonts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450" w:type="dxa"/>
          </w:tcPr>
          <w:p w14:paraId="45212189" w14:textId="1E430D0D" w:rsidR="009D08C1" w:rsidRPr="006D5568" w:rsidRDefault="009D08C1" w:rsidP="009D08C1">
            <w:pPr>
              <w:pStyle w:val="ABCNormal"/>
              <w:spacing w:after="0"/>
              <w:rPr>
                <w:rFonts w:cs="Arial"/>
                <w:b/>
                <w:sz w:val="24"/>
                <w:szCs w:val="24"/>
              </w:rPr>
            </w:pPr>
            <w:r w:rsidRPr="006D5568">
              <w:rPr>
                <w:rFonts w:cs="Arial"/>
                <w:b/>
                <w:sz w:val="24"/>
                <w:szCs w:val="24"/>
              </w:rPr>
              <w:t>Amended By</w:t>
            </w:r>
          </w:p>
        </w:tc>
        <w:tc>
          <w:tcPr>
            <w:tcW w:w="1818" w:type="dxa"/>
          </w:tcPr>
          <w:p w14:paraId="23105BD7" w14:textId="23840AD0" w:rsidR="009D08C1" w:rsidRPr="006D5568" w:rsidRDefault="009D08C1" w:rsidP="009D08C1">
            <w:pPr>
              <w:pStyle w:val="ABCNormal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updated</w:t>
            </w:r>
          </w:p>
        </w:tc>
        <w:tc>
          <w:tcPr>
            <w:tcW w:w="4657" w:type="dxa"/>
          </w:tcPr>
          <w:p w14:paraId="459FFD21" w14:textId="77777777" w:rsidR="009D08C1" w:rsidRPr="006D5568" w:rsidRDefault="009D08C1" w:rsidP="009D08C1">
            <w:pPr>
              <w:pStyle w:val="ABCNormal"/>
              <w:spacing w:after="0"/>
              <w:rPr>
                <w:rFonts w:cs="Arial"/>
                <w:b/>
                <w:sz w:val="24"/>
                <w:szCs w:val="24"/>
              </w:rPr>
            </w:pPr>
            <w:r w:rsidRPr="006D5568">
              <w:rPr>
                <w:rFonts w:cs="Arial"/>
                <w:b/>
                <w:sz w:val="24"/>
                <w:szCs w:val="24"/>
              </w:rPr>
              <w:t>Summary of Changes</w:t>
            </w:r>
          </w:p>
        </w:tc>
      </w:tr>
      <w:tr w:rsidR="009D08C1" w:rsidRPr="006D5568" w14:paraId="3836160C" w14:textId="77777777" w:rsidTr="009D08C1">
        <w:tc>
          <w:tcPr>
            <w:tcW w:w="1091" w:type="dxa"/>
          </w:tcPr>
          <w:p w14:paraId="1FF55D26" w14:textId="22DB3D4A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rFonts w:cs="Arial"/>
                <w:sz w:val="22"/>
                <w:szCs w:val="22"/>
              </w:rPr>
              <w:t>June-24</w:t>
            </w:r>
          </w:p>
        </w:tc>
        <w:tc>
          <w:tcPr>
            <w:tcW w:w="1450" w:type="dxa"/>
          </w:tcPr>
          <w:p w14:paraId="23032F68" w14:textId="0D5875C1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rFonts w:cs="Arial"/>
                <w:sz w:val="22"/>
                <w:szCs w:val="22"/>
              </w:rPr>
              <w:t>Tolvyde Cebanauskaite</w:t>
            </w:r>
          </w:p>
        </w:tc>
        <w:tc>
          <w:tcPr>
            <w:tcW w:w="1818" w:type="dxa"/>
          </w:tcPr>
          <w:p w14:paraId="4C3E6FE3" w14:textId="6FEED0D5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rFonts w:cs="Arial"/>
                <w:sz w:val="22"/>
                <w:szCs w:val="22"/>
              </w:rPr>
              <w:t>Background</w:t>
            </w:r>
          </w:p>
        </w:tc>
        <w:tc>
          <w:tcPr>
            <w:tcW w:w="4657" w:type="dxa"/>
          </w:tcPr>
          <w:p w14:paraId="12573FC5" w14:textId="5F71BF6B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sz w:val="22"/>
                <w:szCs w:val="22"/>
              </w:rPr>
              <w:t>Terminology relating to NQTs removed</w:t>
            </w:r>
          </w:p>
        </w:tc>
      </w:tr>
      <w:tr w:rsidR="009D08C1" w:rsidRPr="006D5568" w14:paraId="5E9116AC" w14:textId="77777777" w:rsidTr="009D08C1">
        <w:tc>
          <w:tcPr>
            <w:tcW w:w="1091" w:type="dxa"/>
          </w:tcPr>
          <w:p w14:paraId="0DF8AE04" w14:textId="7E7F3616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June-24</w:t>
            </w:r>
          </w:p>
        </w:tc>
        <w:tc>
          <w:tcPr>
            <w:tcW w:w="1450" w:type="dxa"/>
          </w:tcPr>
          <w:p w14:paraId="18389943" w14:textId="45C63365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rFonts w:cs="Arial"/>
                <w:sz w:val="22"/>
                <w:szCs w:val="22"/>
              </w:rPr>
              <w:t>Tolvyde Cebanauskaite</w:t>
            </w:r>
          </w:p>
        </w:tc>
        <w:tc>
          <w:tcPr>
            <w:tcW w:w="1818" w:type="dxa"/>
          </w:tcPr>
          <w:p w14:paraId="4E5C4F98" w14:textId="73D86E3F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rFonts w:cs="Arial"/>
                <w:sz w:val="22"/>
                <w:szCs w:val="22"/>
              </w:rPr>
              <w:t>Throughout document</w:t>
            </w:r>
          </w:p>
        </w:tc>
        <w:tc>
          <w:tcPr>
            <w:tcW w:w="4657" w:type="dxa"/>
          </w:tcPr>
          <w:p w14:paraId="46665329" w14:textId="0085FC4B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2"/>
                <w:szCs w:val="22"/>
              </w:rPr>
            </w:pPr>
            <w:r w:rsidRPr="009D08C1">
              <w:rPr>
                <w:sz w:val="22"/>
                <w:szCs w:val="22"/>
              </w:rPr>
              <w:t>Changes in terminology about new teaching hubs, new contact details.</w:t>
            </w:r>
          </w:p>
        </w:tc>
      </w:tr>
      <w:tr w:rsidR="009D08C1" w:rsidRPr="006D5568" w14:paraId="0AF24BBB" w14:textId="77777777" w:rsidTr="009D08C1">
        <w:tc>
          <w:tcPr>
            <w:tcW w:w="1091" w:type="dxa"/>
          </w:tcPr>
          <w:p w14:paraId="7F1FA8F6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CA1D575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86DF84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C39A817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D08C1" w:rsidRPr="006D5568" w14:paraId="6C63F6BC" w14:textId="77777777" w:rsidTr="009D08C1">
        <w:tc>
          <w:tcPr>
            <w:tcW w:w="1091" w:type="dxa"/>
          </w:tcPr>
          <w:p w14:paraId="0C500274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47AD47C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3689AA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657" w:type="dxa"/>
          </w:tcPr>
          <w:p w14:paraId="724C18E5" w14:textId="77777777" w:rsidR="009D08C1" w:rsidRPr="009D08C1" w:rsidRDefault="009D08C1" w:rsidP="009D08C1">
            <w:pPr>
              <w:pStyle w:val="ABCNormal"/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14:paraId="2E7F5A5C" w14:textId="77777777" w:rsidR="00F84195" w:rsidRPr="007F01FD" w:rsidRDefault="00F84195" w:rsidP="00A33E0A">
      <w:pPr>
        <w:jc w:val="both"/>
      </w:pPr>
    </w:p>
    <w:sectPr w:rsidR="00F84195" w:rsidRPr="007F01FD" w:rsidSect="009D08C1">
      <w:headerReference w:type="default" r:id="rId17"/>
      <w:footerReference w:type="default" r:id="rId18"/>
      <w:pgSz w:w="11906" w:h="16838"/>
      <w:pgMar w:top="1701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80D16" w14:textId="77777777" w:rsidR="00A24ACA" w:rsidRDefault="00A24ACA" w:rsidP="00105D93">
      <w:r>
        <w:separator/>
      </w:r>
    </w:p>
  </w:endnote>
  <w:endnote w:type="continuationSeparator" w:id="0">
    <w:p w14:paraId="54DB1A75" w14:textId="77777777" w:rsidR="00A24ACA" w:rsidRDefault="00A24ACA" w:rsidP="0010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820E" w14:textId="39E24879" w:rsidR="00666147" w:rsidRPr="00666147" w:rsidRDefault="00666147" w:rsidP="00666147">
    <w:pPr>
      <w:pStyle w:val="Footer"/>
      <w:tabs>
        <w:tab w:val="right" w:pos="9781"/>
      </w:tabs>
      <w:ind w:right="-35"/>
      <w:rPr>
        <w:rFonts w:cs="Arial"/>
        <w:sz w:val="16"/>
        <w:szCs w:val="16"/>
        <w:lang w:eastAsia="en-GB"/>
      </w:rPr>
    </w:pPr>
    <w:r w:rsidRPr="009D08C1">
      <w:rPr>
        <w:sz w:val="22"/>
        <w:szCs w:val="20"/>
      </w:rPr>
      <w:t>SCC 132</w:t>
    </w:r>
    <w:r w:rsidR="00D77617" w:rsidRPr="009D08C1">
      <w:rPr>
        <w:rFonts w:cs="Arial"/>
        <w:noProof/>
        <w:sz w:val="22"/>
        <w:szCs w:val="20"/>
      </w:rPr>
      <w:t xml:space="preserve">        </w:t>
    </w:r>
    <w:r w:rsidR="009D08C1" w:rsidRPr="009D08C1">
      <w:rPr>
        <w:rFonts w:cs="Arial"/>
        <w:noProof/>
        <w:sz w:val="22"/>
        <w:szCs w:val="20"/>
      </w:rPr>
      <w:t>Jun-24-V3</w:t>
    </w:r>
    <w:r w:rsidR="00D77617" w:rsidRPr="009D08C1">
      <w:rPr>
        <w:rFonts w:cs="Arial"/>
        <w:noProof/>
        <w:sz w:val="22"/>
        <w:szCs w:val="20"/>
      </w:rPr>
      <w:t xml:space="preserve">                                     </w:t>
    </w:r>
    <w:r w:rsidRPr="009D08C1">
      <w:rPr>
        <w:rFonts w:cs="Arial"/>
        <w:noProof/>
        <w:sz w:val="22"/>
        <w:szCs w:val="20"/>
      </w:rPr>
      <w:t xml:space="preserve"> </w:t>
    </w:r>
    <w:r w:rsidR="00E80520" w:rsidRPr="009D08C1">
      <w:rPr>
        <w:rFonts w:cs="Arial"/>
        <w:noProof/>
        <w:sz w:val="22"/>
        <w:szCs w:val="20"/>
      </w:rPr>
      <w:t xml:space="preserve"> </w:t>
    </w:r>
    <w:r>
      <w:rPr>
        <w:rFonts w:cs="Arial"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 PAGE </w:instrText>
    </w:r>
    <w:r>
      <w:rPr>
        <w:rFonts w:cs="Arial"/>
        <w:b/>
        <w:bCs/>
        <w:sz w:val="18"/>
      </w:rPr>
      <w:fldChar w:fldCharType="separate"/>
    </w:r>
    <w:r>
      <w:rPr>
        <w:rFonts w:cs="Arial"/>
        <w:b/>
        <w:bCs/>
        <w:sz w:val="18"/>
      </w:rPr>
      <w:t>1</w:t>
    </w:r>
    <w:r>
      <w:rPr>
        <w:rFonts w:cs="Arial"/>
        <w:b/>
        <w:bCs/>
        <w:sz w:val="18"/>
      </w:rPr>
      <w:fldChar w:fldCharType="end"/>
    </w:r>
    <w:r>
      <w:rPr>
        <w:rFonts w:cs="Arial"/>
        <w:sz w:val="18"/>
      </w:rPr>
      <w:t xml:space="preserve"> of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 NUMPAGES  </w:instrText>
    </w:r>
    <w:r>
      <w:rPr>
        <w:rFonts w:cs="Arial"/>
        <w:b/>
        <w:bCs/>
        <w:sz w:val="18"/>
      </w:rPr>
      <w:fldChar w:fldCharType="separate"/>
    </w:r>
    <w:r>
      <w:rPr>
        <w:rFonts w:cs="Arial"/>
        <w:b/>
        <w:bCs/>
        <w:sz w:val="18"/>
      </w:rPr>
      <w:t>21</w:t>
    </w:r>
    <w:r>
      <w:rPr>
        <w:rFonts w:cs="Arial"/>
        <w:b/>
        <w:bCs/>
        <w:sz w:val="18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allowOverlap="1" wp14:anchorId="106ED389" wp14:editId="06B5D643">
          <wp:simplePos x="0" y="0"/>
          <wp:positionH relativeFrom="page">
            <wp:posOffset>4046855</wp:posOffset>
          </wp:positionH>
          <wp:positionV relativeFrom="paragraph">
            <wp:posOffset>10015855</wp:posOffset>
          </wp:positionV>
          <wp:extent cx="3513455" cy="508000"/>
          <wp:effectExtent l="0" t="0" r="0" b="6350"/>
          <wp:wrapNone/>
          <wp:docPr id="153505669" name="Picture 153505669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8E97141" wp14:editId="7EAA84D4">
          <wp:simplePos x="0" y="0"/>
          <wp:positionH relativeFrom="page">
            <wp:posOffset>4046855</wp:posOffset>
          </wp:positionH>
          <wp:positionV relativeFrom="paragraph">
            <wp:posOffset>10015855</wp:posOffset>
          </wp:positionV>
          <wp:extent cx="3513455" cy="508000"/>
          <wp:effectExtent l="0" t="0" r="0" b="6350"/>
          <wp:wrapNone/>
          <wp:docPr id="935215416" name="Picture 93521541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D9A5" w14:textId="77777777" w:rsidR="00A24ACA" w:rsidRDefault="00A24ACA" w:rsidP="00105D93">
      <w:r>
        <w:separator/>
      </w:r>
    </w:p>
  </w:footnote>
  <w:footnote w:type="continuationSeparator" w:id="0">
    <w:p w14:paraId="6D590383" w14:textId="77777777" w:rsidR="00A24ACA" w:rsidRDefault="00A24ACA" w:rsidP="00105D93">
      <w:r>
        <w:continuationSeparator/>
      </w:r>
    </w:p>
  </w:footnote>
  <w:footnote w:id="1">
    <w:p w14:paraId="1B890644" w14:textId="71E8CA8C" w:rsidR="001815DC" w:rsidRDefault="001815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81BB9" w:rsidRPr="004147AC">
          <w:rPr>
            <w:rStyle w:val="Hyperlink"/>
          </w:rPr>
          <w:t>Statutory guidance</w:t>
        </w:r>
      </w:hyperlink>
    </w:p>
  </w:footnote>
  <w:footnote w:id="2">
    <w:p w14:paraId="72C22C67" w14:textId="1D664118" w:rsidR="00105D93" w:rsidRDefault="00105D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35B02">
        <w:t>A relevant school in England</w:t>
      </w:r>
      <w:r w:rsidR="003F1D55">
        <w:t xml:space="preserve"> </w:t>
      </w:r>
      <w:r w:rsidR="004147AC">
        <w:t>includes</w:t>
      </w:r>
      <w:r w:rsidR="003F1D55">
        <w:t xml:space="preserve"> </w:t>
      </w:r>
      <w:r w:rsidR="00CE45CC">
        <w:t>maintained schools</w:t>
      </w:r>
      <w:r w:rsidR="00D91A74">
        <w:t>; non-maintained special schools</w:t>
      </w:r>
      <w:r w:rsidR="00C64228">
        <w:t xml:space="preserve">; maintained </w:t>
      </w:r>
      <w:r w:rsidR="00276961">
        <w:t xml:space="preserve">nursery schools; </w:t>
      </w:r>
      <w:r w:rsidR="00A62B6A">
        <w:t xml:space="preserve">nursery schools that form part of </w:t>
      </w:r>
      <w:r w:rsidR="004B690A">
        <w:t xml:space="preserve">a maintained school; </w:t>
      </w:r>
      <w:r w:rsidR="00670BC8">
        <w:t xml:space="preserve">local </w:t>
      </w:r>
      <w:r w:rsidR="00F419E3">
        <w:t>authority-maintained</w:t>
      </w:r>
      <w:r w:rsidR="00670BC8">
        <w:t xml:space="preserve"> children’s centre</w:t>
      </w:r>
      <w:r w:rsidR="00550C1A">
        <w:t xml:space="preserve"> and pupil referral units (PRUs).</w:t>
      </w:r>
    </w:p>
  </w:footnote>
  <w:footnote w:id="3">
    <w:p w14:paraId="3A168587" w14:textId="25830CD7" w:rsidR="00AA3994" w:rsidRDefault="00AA39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835">
        <w:t xml:space="preserve">Appropriate bodies are outlined in </w:t>
      </w:r>
      <w:r w:rsidR="00A536F9">
        <w:t xml:space="preserve">paragraph 5.8. of </w:t>
      </w:r>
      <w:hyperlink r:id="rId2" w:history="1">
        <w:r w:rsidR="003162E9" w:rsidRPr="003162E9">
          <w:rPr>
            <w:rStyle w:val="Hyperlink"/>
          </w:rPr>
          <w:t>Statutory guidance</w:t>
        </w:r>
      </w:hyperlink>
      <w:r w:rsidR="003162E9" w:rsidRPr="003162E9">
        <w:t>.</w:t>
      </w:r>
    </w:p>
  </w:footnote>
  <w:footnote w:id="4">
    <w:p w14:paraId="586B2D77" w14:textId="0AAF568C" w:rsidR="00310EE5" w:rsidRDefault="00310E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D05930" w:rsidRPr="004147AC">
          <w:rPr>
            <w:rStyle w:val="Hyperlink"/>
          </w:rPr>
          <w:t>Statutory guidance</w:t>
        </w:r>
      </w:hyperlink>
    </w:p>
  </w:footnote>
  <w:footnote w:id="5">
    <w:p w14:paraId="2D672F94" w14:textId="0397EBBD" w:rsidR="00D05930" w:rsidRDefault="00D05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D05930">
          <w:rPr>
            <w:rStyle w:val="Hyperlink"/>
          </w:rPr>
          <w:t>Statutory guidance</w:t>
        </w:r>
      </w:hyperlink>
    </w:p>
  </w:footnote>
  <w:footnote w:id="6">
    <w:p w14:paraId="22CB770F" w14:textId="763B71F2" w:rsidR="00994C7E" w:rsidRDefault="00994C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994C7E">
          <w:rPr>
            <w:rStyle w:val="Hyperlink"/>
          </w:rPr>
          <w:t>Statutory guidance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DEE0" w14:textId="46045CA5" w:rsidR="00666147" w:rsidRDefault="00666147">
    <w:pPr>
      <w:pStyle w:val="Header"/>
    </w:pPr>
    <w:r w:rsidRPr="00B206A3">
      <w:rPr>
        <w:noProof/>
      </w:rPr>
      <w:drawing>
        <wp:anchor distT="0" distB="0" distL="114300" distR="114300" simplePos="0" relativeHeight="251661312" behindDoc="1" locked="0" layoutInCell="1" allowOverlap="1" wp14:anchorId="3062F524" wp14:editId="34701371">
          <wp:simplePos x="0" y="0"/>
          <wp:positionH relativeFrom="column">
            <wp:posOffset>-632460</wp:posOffset>
          </wp:positionH>
          <wp:positionV relativeFrom="paragraph">
            <wp:posOffset>-182880</wp:posOffset>
          </wp:positionV>
          <wp:extent cx="1914525" cy="579120"/>
          <wp:effectExtent l="0" t="0" r="9525" b="0"/>
          <wp:wrapTight wrapText="bothSides">
            <wp:wrapPolygon edited="0">
              <wp:start x="0" y="0"/>
              <wp:lineTo x="0" y="20605"/>
              <wp:lineTo x="21493" y="20605"/>
              <wp:lineTo x="21493" y="0"/>
              <wp:lineTo x="0" y="0"/>
            </wp:wrapPolygon>
          </wp:wrapTight>
          <wp:docPr id="443346156" name="Picture 443346156" descr="SCCblue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Cblue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86C"/>
    <w:multiLevelType w:val="hybridMultilevel"/>
    <w:tmpl w:val="F5CAC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45951"/>
    <w:multiLevelType w:val="hybridMultilevel"/>
    <w:tmpl w:val="BF6E6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522A4"/>
    <w:multiLevelType w:val="hybridMultilevel"/>
    <w:tmpl w:val="6EFC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309"/>
    <w:multiLevelType w:val="hybridMultilevel"/>
    <w:tmpl w:val="FD3EEE76"/>
    <w:lvl w:ilvl="0" w:tplc="D332A30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9E175E"/>
    <w:multiLevelType w:val="hybridMultilevel"/>
    <w:tmpl w:val="2D86C5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01294"/>
    <w:multiLevelType w:val="hybridMultilevel"/>
    <w:tmpl w:val="EC7848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D2F29"/>
    <w:multiLevelType w:val="hybridMultilevel"/>
    <w:tmpl w:val="F4C837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6447A"/>
    <w:multiLevelType w:val="hybridMultilevel"/>
    <w:tmpl w:val="2D90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9EF"/>
    <w:multiLevelType w:val="hybridMultilevel"/>
    <w:tmpl w:val="0CA699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14CBD"/>
    <w:multiLevelType w:val="hybridMultilevel"/>
    <w:tmpl w:val="54549A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57E4D"/>
    <w:multiLevelType w:val="hybridMultilevel"/>
    <w:tmpl w:val="25489B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76CBF"/>
    <w:multiLevelType w:val="hybridMultilevel"/>
    <w:tmpl w:val="81A29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568A3"/>
    <w:multiLevelType w:val="hybridMultilevel"/>
    <w:tmpl w:val="B030B04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B0A82"/>
    <w:multiLevelType w:val="hybridMultilevel"/>
    <w:tmpl w:val="AA4467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E770E"/>
    <w:multiLevelType w:val="hybridMultilevel"/>
    <w:tmpl w:val="5E2E80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20ECE"/>
    <w:multiLevelType w:val="hybridMultilevel"/>
    <w:tmpl w:val="222AF01A"/>
    <w:lvl w:ilvl="0" w:tplc="3168EA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51028"/>
    <w:multiLevelType w:val="hybridMultilevel"/>
    <w:tmpl w:val="D8CA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C271D"/>
    <w:multiLevelType w:val="hybridMultilevel"/>
    <w:tmpl w:val="986AC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540FF4"/>
    <w:multiLevelType w:val="hybridMultilevel"/>
    <w:tmpl w:val="B0FA1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03DB0"/>
    <w:multiLevelType w:val="hybridMultilevel"/>
    <w:tmpl w:val="DEDC5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CF46AB"/>
    <w:multiLevelType w:val="hybridMultilevel"/>
    <w:tmpl w:val="C4E0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93ABE"/>
    <w:multiLevelType w:val="hybridMultilevel"/>
    <w:tmpl w:val="2C8A35D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AE2672"/>
    <w:multiLevelType w:val="hybridMultilevel"/>
    <w:tmpl w:val="1DF217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302337">
    <w:abstractNumId w:val="3"/>
  </w:num>
  <w:num w:numId="2" w16cid:durableId="815613210">
    <w:abstractNumId w:val="8"/>
  </w:num>
  <w:num w:numId="3" w16cid:durableId="2075004056">
    <w:abstractNumId w:val="4"/>
  </w:num>
  <w:num w:numId="4" w16cid:durableId="1728411214">
    <w:abstractNumId w:val="19"/>
  </w:num>
  <w:num w:numId="5" w16cid:durableId="1066418556">
    <w:abstractNumId w:val="22"/>
  </w:num>
  <w:num w:numId="6" w16cid:durableId="18287000">
    <w:abstractNumId w:val="5"/>
  </w:num>
  <w:num w:numId="7" w16cid:durableId="2033871726">
    <w:abstractNumId w:val="6"/>
  </w:num>
  <w:num w:numId="8" w16cid:durableId="1052650788">
    <w:abstractNumId w:val="13"/>
  </w:num>
  <w:num w:numId="9" w16cid:durableId="1045910272">
    <w:abstractNumId w:val="10"/>
  </w:num>
  <w:num w:numId="10" w16cid:durableId="1978147919">
    <w:abstractNumId w:val="14"/>
  </w:num>
  <w:num w:numId="11" w16cid:durableId="1815372585">
    <w:abstractNumId w:val="11"/>
  </w:num>
  <w:num w:numId="12" w16cid:durableId="992954270">
    <w:abstractNumId w:val="9"/>
  </w:num>
  <w:num w:numId="13" w16cid:durableId="662929202">
    <w:abstractNumId w:val="0"/>
  </w:num>
  <w:num w:numId="14" w16cid:durableId="1187907582">
    <w:abstractNumId w:val="17"/>
  </w:num>
  <w:num w:numId="15" w16cid:durableId="1139030064">
    <w:abstractNumId w:val="18"/>
  </w:num>
  <w:num w:numId="16" w16cid:durableId="436411568">
    <w:abstractNumId w:val="16"/>
  </w:num>
  <w:num w:numId="17" w16cid:durableId="1955399358">
    <w:abstractNumId w:val="20"/>
  </w:num>
  <w:num w:numId="18" w16cid:durableId="854147059">
    <w:abstractNumId w:val="15"/>
  </w:num>
  <w:num w:numId="19" w16cid:durableId="1243493656">
    <w:abstractNumId w:val="7"/>
  </w:num>
  <w:num w:numId="20" w16cid:durableId="1923562830">
    <w:abstractNumId w:val="2"/>
  </w:num>
  <w:num w:numId="21" w16cid:durableId="1356418902">
    <w:abstractNumId w:val="1"/>
  </w:num>
  <w:num w:numId="22" w16cid:durableId="1492676752">
    <w:abstractNumId w:val="21"/>
  </w:num>
  <w:num w:numId="23" w16cid:durableId="1959723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A0"/>
    <w:rsid w:val="00000AAF"/>
    <w:rsid w:val="00001D65"/>
    <w:rsid w:val="000117B8"/>
    <w:rsid w:val="000122FB"/>
    <w:rsid w:val="00013B0B"/>
    <w:rsid w:val="000144F6"/>
    <w:rsid w:val="0001467B"/>
    <w:rsid w:val="000171A0"/>
    <w:rsid w:val="0003294D"/>
    <w:rsid w:val="000339CA"/>
    <w:rsid w:val="00033F57"/>
    <w:rsid w:val="00036E6C"/>
    <w:rsid w:val="0004193C"/>
    <w:rsid w:val="000467AE"/>
    <w:rsid w:val="0005224C"/>
    <w:rsid w:val="00054863"/>
    <w:rsid w:val="000641B4"/>
    <w:rsid w:val="000666C6"/>
    <w:rsid w:val="00071BC9"/>
    <w:rsid w:val="00071F1B"/>
    <w:rsid w:val="00073E91"/>
    <w:rsid w:val="00080649"/>
    <w:rsid w:val="0008205E"/>
    <w:rsid w:val="00082963"/>
    <w:rsid w:val="00085AB2"/>
    <w:rsid w:val="00091174"/>
    <w:rsid w:val="00091942"/>
    <w:rsid w:val="000920A5"/>
    <w:rsid w:val="000A0CF9"/>
    <w:rsid w:val="000A5C39"/>
    <w:rsid w:val="000B624F"/>
    <w:rsid w:val="000B7367"/>
    <w:rsid w:val="000C3F5E"/>
    <w:rsid w:val="000C61CD"/>
    <w:rsid w:val="000D0A4E"/>
    <w:rsid w:val="000D27DB"/>
    <w:rsid w:val="000D3E06"/>
    <w:rsid w:val="000D5ECB"/>
    <w:rsid w:val="000D6A24"/>
    <w:rsid w:val="000D7EEF"/>
    <w:rsid w:val="000E53F9"/>
    <w:rsid w:val="000E57B8"/>
    <w:rsid w:val="000E68D8"/>
    <w:rsid w:val="000F20D8"/>
    <w:rsid w:val="000F36BF"/>
    <w:rsid w:val="000F51AB"/>
    <w:rsid w:val="000F6DDB"/>
    <w:rsid w:val="0010362F"/>
    <w:rsid w:val="00104480"/>
    <w:rsid w:val="00104718"/>
    <w:rsid w:val="00104D82"/>
    <w:rsid w:val="00105D93"/>
    <w:rsid w:val="00113277"/>
    <w:rsid w:val="00113E10"/>
    <w:rsid w:val="00114B14"/>
    <w:rsid w:val="001170AA"/>
    <w:rsid w:val="00120D82"/>
    <w:rsid w:val="0012132B"/>
    <w:rsid w:val="0012476F"/>
    <w:rsid w:val="00125458"/>
    <w:rsid w:val="00132D7D"/>
    <w:rsid w:val="00132DF5"/>
    <w:rsid w:val="00134201"/>
    <w:rsid w:val="001343F2"/>
    <w:rsid w:val="00134AD3"/>
    <w:rsid w:val="0013661A"/>
    <w:rsid w:val="001378D5"/>
    <w:rsid w:val="00141200"/>
    <w:rsid w:val="00142311"/>
    <w:rsid w:val="00142D1F"/>
    <w:rsid w:val="0014343D"/>
    <w:rsid w:val="00146F9F"/>
    <w:rsid w:val="00151347"/>
    <w:rsid w:val="00151445"/>
    <w:rsid w:val="001518D5"/>
    <w:rsid w:val="00152D0F"/>
    <w:rsid w:val="001542AF"/>
    <w:rsid w:val="001568C8"/>
    <w:rsid w:val="00157134"/>
    <w:rsid w:val="00165EE2"/>
    <w:rsid w:val="0017290E"/>
    <w:rsid w:val="00172B69"/>
    <w:rsid w:val="00174D77"/>
    <w:rsid w:val="00175398"/>
    <w:rsid w:val="001815DC"/>
    <w:rsid w:val="0018522D"/>
    <w:rsid w:val="00186005"/>
    <w:rsid w:val="0019626C"/>
    <w:rsid w:val="00196BBA"/>
    <w:rsid w:val="001A077B"/>
    <w:rsid w:val="001A5909"/>
    <w:rsid w:val="001B0981"/>
    <w:rsid w:val="001B313D"/>
    <w:rsid w:val="001B31B8"/>
    <w:rsid w:val="001B52D9"/>
    <w:rsid w:val="001B53C9"/>
    <w:rsid w:val="001B60FF"/>
    <w:rsid w:val="001C05E4"/>
    <w:rsid w:val="001C1908"/>
    <w:rsid w:val="001C5AC6"/>
    <w:rsid w:val="001D0790"/>
    <w:rsid w:val="001D0E11"/>
    <w:rsid w:val="001D52C6"/>
    <w:rsid w:val="001E247C"/>
    <w:rsid w:val="001E3A0B"/>
    <w:rsid w:val="001E4C10"/>
    <w:rsid w:val="001E4D2A"/>
    <w:rsid w:val="001E5135"/>
    <w:rsid w:val="001E5649"/>
    <w:rsid w:val="001E59EA"/>
    <w:rsid w:val="001E5FC8"/>
    <w:rsid w:val="001E69AA"/>
    <w:rsid w:val="001E75E9"/>
    <w:rsid w:val="001E7D99"/>
    <w:rsid w:val="001F0591"/>
    <w:rsid w:val="001F7A5B"/>
    <w:rsid w:val="00201BC1"/>
    <w:rsid w:val="0020271E"/>
    <w:rsid w:val="00203508"/>
    <w:rsid w:val="00203744"/>
    <w:rsid w:val="002060C2"/>
    <w:rsid w:val="00206E58"/>
    <w:rsid w:val="00210E83"/>
    <w:rsid w:val="002153DC"/>
    <w:rsid w:val="002235D5"/>
    <w:rsid w:val="00225DD4"/>
    <w:rsid w:val="002262F4"/>
    <w:rsid w:val="0022768A"/>
    <w:rsid w:val="00231CEC"/>
    <w:rsid w:val="00231D2A"/>
    <w:rsid w:val="00231E67"/>
    <w:rsid w:val="00232635"/>
    <w:rsid w:val="002349D5"/>
    <w:rsid w:val="00240C0F"/>
    <w:rsid w:val="00241E5F"/>
    <w:rsid w:val="00244FEF"/>
    <w:rsid w:val="002457D3"/>
    <w:rsid w:val="00251832"/>
    <w:rsid w:val="002525EF"/>
    <w:rsid w:val="00252E5A"/>
    <w:rsid w:val="00253B3D"/>
    <w:rsid w:val="002540B2"/>
    <w:rsid w:val="00260910"/>
    <w:rsid w:val="00260E9C"/>
    <w:rsid w:val="002647A3"/>
    <w:rsid w:val="00264DEA"/>
    <w:rsid w:val="00265FCA"/>
    <w:rsid w:val="00270B9E"/>
    <w:rsid w:val="00270E34"/>
    <w:rsid w:val="00271890"/>
    <w:rsid w:val="002725D4"/>
    <w:rsid w:val="00275199"/>
    <w:rsid w:val="00275EF1"/>
    <w:rsid w:val="00276961"/>
    <w:rsid w:val="00281A34"/>
    <w:rsid w:val="002827FC"/>
    <w:rsid w:val="002874CC"/>
    <w:rsid w:val="00290DA3"/>
    <w:rsid w:val="0029139A"/>
    <w:rsid w:val="002955F7"/>
    <w:rsid w:val="00295E9A"/>
    <w:rsid w:val="00296390"/>
    <w:rsid w:val="00296CE2"/>
    <w:rsid w:val="002A005B"/>
    <w:rsid w:val="002A2827"/>
    <w:rsid w:val="002A29F4"/>
    <w:rsid w:val="002A304F"/>
    <w:rsid w:val="002A48AA"/>
    <w:rsid w:val="002B32F3"/>
    <w:rsid w:val="002B3458"/>
    <w:rsid w:val="002B663B"/>
    <w:rsid w:val="002B73DA"/>
    <w:rsid w:val="002C05C1"/>
    <w:rsid w:val="002C1552"/>
    <w:rsid w:val="002C7FBF"/>
    <w:rsid w:val="002D398B"/>
    <w:rsid w:val="002D50F0"/>
    <w:rsid w:val="002E04D2"/>
    <w:rsid w:val="002E205C"/>
    <w:rsid w:val="002E24E2"/>
    <w:rsid w:val="002E44B1"/>
    <w:rsid w:val="002E60A2"/>
    <w:rsid w:val="002E65E0"/>
    <w:rsid w:val="002F079E"/>
    <w:rsid w:val="002F098B"/>
    <w:rsid w:val="00302243"/>
    <w:rsid w:val="00302CE1"/>
    <w:rsid w:val="00305EB2"/>
    <w:rsid w:val="00306394"/>
    <w:rsid w:val="003079E9"/>
    <w:rsid w:val="00307EF1"/>
    <w:rsid w:val="00310AA0"/>
    <w:rsid w:val="00310EE5"/>
    <w:rsid w:val="00312EE3"/>
    <w:rsid w:val="003147EB"/>
    <w:rsid w:val="003162E9"/>
    <w:rsid w:val="003200E5"/>
    <w:rsid w:val="00326D4E"/>
    <w:rsid w:val="003305A7"/>
    <w:rsid w:val="0033102E"/>
    <w:rsid w:val="00332357"/>
    <w:rsid w:val="003343C2"/>
    <w:rsid w:val="00334693"/>
    <w:rsid w:val="003354A5"/>
    <w:rsid w:val="00340E57"/>
    <w:rsid w:val="00342E59"/>
    <w:rsid w:val="00343341"/>
    <w:rsid w:val="00350A44"/>
    <w:rsid w:val="0035272A"/>
    <w:rsid w:val="00353C0A"/>
    <w:rsid w:val="00360698"/>
    <w:rsid w:val="003607AA"/>
    <w:rsid w:val="003611A0"/>
    <w:rsid w:val="0036215A"/>
    <w:rsid w:val="0036231D"/>
    <w:rsid w:val="00363A78"/>
    <w:rsid w:val="00364B3B"/>
    <w:rsid w:val="00367F8D"/>
    <w:rsid w:val="003716BB"/>
    <w:rsid w:val="003726B2"/>
    <w:rsid w:val="003802D2"/>
    <w:rsid w:val="00382AC7"/>
    <w:rsid w:val="003866AA"/>
    <w:rsid w:val="00392E14"/>
    <w:rsid w:val="00393235"/>
    <w:rsid w:val="00394AEE"/>
    <w:rsid w:val="00395F58"/>
    <w:rsid w:val="003977E1"/>
    <w:rsid w:val="003A0074"/>
    <w:rsid w:val="003A1D5A"/>
    <w:rsid w:val="003A227A"/>
    <w:rsid w:val="003A341D"/>
    <w:rsid w:val="003A71B1"/>
    <w:rsid w:val="003B0141"/>
    <w:rsid w:val="003B0CE8"/>
    <w:rsid w:val="003B1118"/>
    <w:rsid w:val="003B2835"/>
    <w:rsid w:val="003C0703"/>
    <w:rsid w:val="003C157D"/>
    <w:rsid w:val="003C3EB3"/>
    <w:rsid w:val="003D0025"/>
    <w:rsid w:val="003D0858"/>
    <w:rsid w:val="003D19FF"/>
    <w:rsid w:val="003D1E2E"/>
    <w:rsid w:val="003D34EA"/>
    <w:rsid w:val="003E2451"/>
    <w:rsid w:val="003E380F"/>
    <w:rsid w:val="003F0751"/>
    <w:rsid w:val="003F090F"/>
    <w:rsid w:val="003F1311"/>
    <w:rsid w:val="003F1D55"/>
    <w:rsid w:val="003F28F6"/>
    <w:rsid w:val="003F4E58"/>
    <w:rsid w:val="0040166E"/>
    <w:rsid w:val="0040301F"/>
    <w:rsid w:val="004055C8"/>
    <w:rsid w:val="00407E56"/>
    <w:rsid w:val="004118C5"/>
    <w:rsid w:val="00411A14"/>
    <w:rsid w:val="004126F2"/>
    <w:rsid w:val="004147AC"/>
    <w:rsid w:val="00414FF3"/>
    <w:rsid w:val="00415688"/>
    <w:rsid w:val="004168F1"/>
    <w:rsid w:val="004170A0"/>
    <w:rsid w:val="00426431"/>
    <w:rsid w:val="00426480"/>
    <w:rsid w:val="004307BE"/>
    <w:rsid w:val="00431AB7"/>
    <w:rsid w:val="00434376"/>
    <w:rsid w:val="004345F8"/>
    <w:rsid w:val="00436284"/>
    <w:rsid w:val="0043680B"/>
    <w:rsid w:val="0044074B"/>
    <w:rsid w:val="00441E45"/>
    <w:rsid w:val="004461B3"/>
    <w:rsid w:val="0045225C"/>
    <w:rsid w:val="00456D86"/>
    <w:rsid w:val="00462C82"/>
    <w:rsid w:val="004631F5"/>
    <w:rsid w:val="00466494"/>
    <w:rsid w:val="004669A4"/>
    <w:rsid w:val="00467058"/>
    <w:rsid w:val="0047032D"/>
    <w:rsid w:val="004729E6"/>
    <w:rsid w:val="00476EBB"/>
    <w:rsid w:val="00477E2A"/>
    <w:rsid w:val="00482614"/>
    <w:rsid w:val="00482ABF"/>
    <w:rsid w:val="00485DFB"/>
    <w:rsid w:val="004865CF"/>
    <w:rsid w:val="004867B1"/>
    <w:rsid w:val="00487D7E"/>
    <w:rsid w:val="004920B7"/>
    <w:rsid w:val="00493E49"/>
    <w:rsid w:val="00495ADB"/>
    <w:rsid w:val="00497FC3"/>
    <w:rsid w:val="004A204D"/>
    <w:rsid w:val="004A25BD"/>
    <w:rsid w:val="004A2F72"/>
    <w:rsid w:val="004A5038"/>
    <w:rsid w:val="004B13A7"/>
    <w:rsid w:val="004B1676"/>
    <w:rsid w:val="004B16B4"/>
    <w:rsid w:val="004B3262"/>
    <w:rsid w:val="004B6513"/>
    <w:rsid w:val="004B690A"/>
    <w:rsid w:val="004B7C70"/>
    <w:rsid w:val="004C31A7"/>
    <w:rsid w:val="004C581E"/>
    <w:rsid w:val="004C6768"/>
    <w:rsid w:val="004D0BF1"/>
    <w:rsid w:val="004D50B5"/>
    <w:rsid w:val="004D5408"/>
    <w:rsid w:val="004D5DB2"/>
    <w:rsid w:val="004E0565"/>
    <w:rsid w:val="004E2C59"/>
    <w:rsid w:val="004E4433"/>
    <w:rsid w:val="004E6975"/>
    <w:rsid w:val="004F2668"/>
    <w:rsid w:val="00502326"/>
    <w:rsid w:val="00504691"/>
    <w:rsid w:val="00504FD6"/>
    <w:rsid w:val="005069F2"/>
    <w:rsid w:val="00506EDA"/>
    <w:rsid w:val="00517DB6"/>
    <w:rsid w:val="0052260C"/>
    <w:rsid w:val="0052407A"/>
    <w:rsid w:val="00525ED7"/>
    <w:rsid w:val="00530CF1"/>
    <w:rsid w:val="00531530"/>
    <w:rsid w:val="00535C49"/>
    <w:rsid w:val="0053601F"/>
    <w:rsid w:val="00537B0B"/>
    <w:rsid w:val="005416DC"/>
    <w:rsid w:val="00543152"/>
    <w:rsid w:val="005436C3"/>
    <w:rsid w:val="005476BE"/>
    <w:rsid w:val="00550C1A"/>
    <w:rsid w:val="00551BDC"/>
    <w:rsid w:val="005525A9"/>
    <w:rsid w:val="00554679"/>
    <w:rsid w:val="0055558A"/>
    <w:rsid w:val="00557CBE"/>
    <w:rsid w:val="00560FA7"/>
    <w:rsid w:val="00565BCD"/>
    <w:rsid w:val="005716C9"/>
    <w:rsid w:val="005748CB"/>
    <w:rsid w:val="00574A3C"/>
    <w:rsid w:val="00575BDA"/>
    <w:rsid w:val="00575E90"/>
    <w:rsid w:val="005771E9"/>
    <w:rsid w:val="00577B3B"/>
    <w:rsid w:val="00581D4A"/>
    <w:rsid w:val="0058480B"/>
    <w:rsid w:val="005856A3"/>
    <w:rsid w:val="005864BD"/>
    <w:rsid w:val="005872D9"/>
    <w:rsid w:val="005916E7"/>
    <w:rsid w:val="0059245F"/>
    <w:rsid w:val="0059277B"/>
    <w:rsid w:val="005929BF"/>
    <w:rsid w:val="0059400A"/>
    <w:rsid w:val="00594444"/>
    <w:rsid w:val="00595282"/>
    <w:rsid w:val="0059799B"/>
    <w:rsid w:val="005A3FA1"/>
    <w:rsid w:val="005A69BB"/>
    <w:rsid w:val="005A6B22"/>
    <w:rsid w:val="005B0C20"/>
    <w:rsid w:val="005B151E"/>
    <w:rsid w:val="005B7ED6"/>
    <w:rsid w:val="005C71CF"/>
    <w:rsid w:val="005D0091"/>
    <w:rsid w:val="005D2507"/>
    <w:rsid w:val="005D43E7"/>
    <w:rsid w:val="005D53EC"/>
    <w:rsid w:val="005D5687"/>
    <w:rsid w:val="005D7D08"/>
    <w:rsid w:val="005E6810"/>
    <w:rsid w:val="005E6A81"/>
    <w:rsid w:val="005F0E71"/>
    <w:rsid w:val="005F4A75"/>
    <w:rsid w:val="005F67AE"/>
    <w:rsid w:val="0060172C"/>
    <w:rsid w:val="00601763"/>
    <w:rsid w:val="006138BF"/>
    <w:rsid w:val="00613C25"/>
    <w:rsid w:val="00617996"/>
    <w:rsid w:val="00620FB8"/>
    <w:rsid w:val="006228EE"/>
    <w:rsid w:val="0062342E"/>
    <w:rsid w:val="00624CED"/>
    <w:rsid w:val="00633169"/>
    <w:rsid w:val="006343DC"/>
    <w:rsid w:val="006364C3"/>
    <w:rsid w:val="00636572"/>
    <w:rsid w:val="00643AAC"/>
    <w:rsid w:val="0064401A"/>
    <w:rsid w:val="006443BC"/>
    <w:rsid w:val="00646C95"/>
    <w:rsid w:val="006503DF"/>
    <w:rsid w:val="00654912"/>
    <w:rsid w:val="00655A1F"/>
    <w:rsid w:val="006560C3"/>
    <w:rsid w:val="00657A66"/>
    <w:rsid w:val="00660BCB"/>
    <w:rsid w:val="006623A2"/>
    <w:rsid w:val="0066554B"/>
    <w:rsid w:val="00665C6F"/>
    <w:rsid w:val="00666147"/>
    <w:rsid w:val="00666BC8"/>
    <w:rsid w:val="00667131"/>
    <w:rsid w:val="00670BC8"/>
    <w:rsid w:val="00671D11"/>
    <w:rsid w:val="006722B2"/>
    <w:rsid w:val="00676244"/>
    <w:rsid w:val="0067660F"/>
    <w:rsid w:val="00682273"/>
    <w:rsid w:val="00683B0E"/>
    <w:rsid w:val="00685E4B"/>
    <w:rsid w:val="00691319"/>
    <w:rsid w:val="00691390"/>
    <w:rsid w:val="006926DF"/>
    <w:rsid w:val="00693D09"/>
    <w:rsid w:val="00695C9F"/>
    <w:rsid w:val="006977F1"/>
    <w:rsid w:val="006A1AF8"/>
    <w:rsid w:val="006A6CA0"/>
    <w:rsid w:val="006A6CD9"/>
    <w:rsid w:val="006A71C7"/>
    <w:rsid w:val="006A7485"/>
    <w:rsid w:val="006B0327"/>
    <w:rsid w:val="006B0F0E"/>
    <w:rsid w:val="006B31A4"/>
    <w:rsid w:val="006C01D6"/>
    <w:rsid w:val="006C12A9"/>
    <w:rsid w:val="006C50BC"/>
    <w:rsid w:val="006C5BCA"/>
    <w:rsid w:val="006D187D"/>
    <w:rsid w:val="006D2E9E"/>
    <w:rsid w:val="006D306A"/>
    <w:rsid w:val="006D4042"/>
    <w:rsid w:val="006D49E0"/>
    <w:rsid w:val="006E2E3D"/>
    <w:rsid w:val="006E3589"/>
    <w:rsid w:val="006E70DC"/>
    <w:rsid w:val="006F0823"/>
    <w:rsid w:val="006F1930"/>
    <w:rsid w:val="006F581F"/>
    <w:rsid w:val="006F5EAA"/>
    <w:rsid w:val="006F673D"/>
    <w:rsid w:val="006F7097"/>
    <w:rsid w:val="00702898"/>
    <w:rsid w:val="007032F8"/>
    <w:rsid w:val="00705E38"/>
    <w:rsid w:val="00706BCC"/>
    <w:rsid w:val="00706FBC"/>
    <w:rsid w:val="00707B96"/>
    <w:rsid w:val="00712138"/>
    <w:rsid w:val="0071295B"/>
    <w:rsid w:val="00714F78"/>
    <w:rsid w:val="00715337"/>
    <w:rsid w:val="007153BA"/>
    <w:rsid w:val="00717A6E"/>
    <w:rsid w:val="00720BFD"/>
    <w:rsid w:val="00722463"/>
    <w:rsid w:val="00722924"/>
    <w:rsid w:val="00723B25"/>
    <w:rsid w:val="00727CDF"/>
    <w:rsid w:val="007308C5"/>
    <w:rsid w:val="00732072"/>
    <w:rsid w:val="007339AE"/>
    <w:rsid w:val="00737FA2"/>
    <w:rsid w:val="0074129F"/>
    <w:rsid w:val="00742299"/>
    <w:rsid w:val="00747843"/>
    <w:rsid w:val="00747B4D"/>
    <w:rsid w:val="00751A77"/>
    <w:rsid w:val="00761520"/>
    <w:rsid w:val="007633EE"/>
    <w:rsid w:val="00767055"/>
    <w:rsid w:val="00770009"/>
    <w:rsid w:val="00781DB6"/>
    <w:rsid w:val="007825DF"/>
    <w:rsid w:val="0078261F"/>
    <w:rsid w:val="0078588D"/>
    <w:rsid w:val="00791B0A"/>
    <w:rsid w:val="00792DF7"/>
    <w:rsid w:val="00792FAF"/>
    <w:rsid w:val="0079358C"/>
    <w:rsid w:val="007939DE"/>
    <w:rsid w:val="0079435E"/>
    <w:rsid w:val="007A12A7"/>
    <w:rsid w:val="007A3BBB"/>
    <w:rsid w:val="007B0EC1"/>
    <w:rsid w:val="007B61D4"/>
    <w:rsid w:val="007C0E67"/>
    <w:rsid w:val="007C64E4"/>
    <w:rsid w:val="007D6347"/>
    <w:rsid w:val="007D64BB"/>
    <w:rsid w:val="007D7FDE"/>
    <w:rsid w:val="007E432E"/>
    <w:rsid w:val="007E5276"/>
    <w:rsid w:val="007E58AD"/>
    <w:rsid w:val="007F01FD"/>
    <w:rsid w:val="007F0CBC"/>
    <w:rsid w:val="007F2A43"/>
    <w:rsid w:val="007F4194"/>
    <w:rsid w:val="007F7109"/>
    <w:rsid w:val="007F782E"/>
    <w:rsid w:val="00800498"/>
    <w:rsid w:val="00800FF9"/>
    <w:rsid w:val="00803597"/>
    <w:rsid w:val="008043C0"/>
    <w:rsid w:val="0081274F"/>
    <w:rsid w:val="00815C2C"/>
    <w:rsid w:val="008203CD"/>
    <w:rsid w:val="00820A3D"/>
    <w:rsid w:val="008235FB"/>
    <w:rsid w:val="008247B2"/>
    <w:rsid w:val="00834043"/>
    <w:rsid w:val="008346E4"/>
    <w:rsid w:val="00836214"/>
    <w:rsid w:val="0084121A"/>
    <w:rsid w:val="00841264"/>
    <w:rsid w:val="00842FF9"/>
    <w:rsid w:val="00843965"/>
    <w:rsid w:val="008443D3"/>
    <w:rsid w:val="0084500B"/>
    <w:rsid w:val="00845310"/>
    <w:rsid w:val="00846F4D"/>
    <w:rsid w:val="00847A2A"/>
    <w:rsid w:val="0085395A"/>
    <w:rsid w:val="008553BD"/>
    <w:rsid w:val="00856D49"/>
    <w:rsid w:val="00862321"/>
    <w:rsid w:val="00870AE0"/>
    <w:rsid w:val="00871A5F"/>
    <w:rsid w:val="00875F96"/>
    <w:rsid w:val="008770BB"/>
    <w:rsid w:val="0088011B"/>
    <w:rsid w:val="0088136F"/>
    <w:rsid w:val="00881AD5"/>
    <w:rsid w:val="008852BD"/>
    <w:rsid w:val="00885C41"/>
    <w:rsid w:val="008862AE"/>
    <w:rsid w:val="008869F4"/>
    <w:rsid w:val="00886A87"/>
    <w:rsid w:val="00887DAC"/>
    <w:rsid w:val="00887FEB"/>
    <w:rsid w:val="00892037"/>
    <w:rsid w:val="00893E6E"/>
    <w:rsid w:val="008A0991"/>
    <w:rsid w:val="008A13EB"/>
    <w:rsid w:val="008A266F"/>
    <w:rsid w:val="008A716B"/>
    <w:rsid w:val="008A7B18"/>
    <w:rsid w:val="008B091E"/>
    <w:rsid w:val="008B1412"/>
    <w:rsid w:val="008B2427"/>
    <w:rsid w:val="008B5994"/>
    <w:rsid w:val="008B60AA"/>
    <w:rsid w:val="008B6AC2"/>
    <w:rsid w:val="008C0659"/>
    <w:rsid w:val="008C3215"/>
    <w:rsid w:val="008C52C6"/>
    <w:rsid w:val="008D14F2"/>
    <w:rsid w:val="008D18A4"/>
    <w:rsid w:val="008D331B"/>
    <w:rsid w:val="008D3525"/>
    <w:rsid w:val="008D3ADC"/>
    <w:rsid w:val="008D4258"/>
    <w:rsid w:val="008D7B64"/>
    <w:rsid w:val="008E05B6"/>
    <w:rsid w:val="008E1518"/>
    <w:rsid w:val="008E486E"/>
    <w:rsid w:val="008E4F93"/>
    <w:rsid w:val="008F213E"/>
    <w:rsid w:val="008F3EFE"/>
    <w:rsid w:val="008F433B"/>
    <w:rsid w:val="008F5A3B"/>
    <w:rsid w:val="008F7B17"/>
    <w:rsid w:val="00900377"/>
    <w:rsid w:val="00900CCE"/>
    <w:rsid w:val="00901E07"/>
    <w:rsid w:val="0090293B"/>
    <w:rsid w:val="00902A7D"/>
    <w:rsid w:val="0090460E"/>
    <w:rsid w:val="00913238"/>
    <w:rsid w:val="00920798"/>
    <w:rsid w:val="00922532"/>
    <w:rsid w:val="009232B2"/>
    <w:rsid w:val="00927547"/>
    <w:rsid w:val="009307C4"/>
    <w:rsid w:val="00930FD1"/>
    <w:rsid w:val="0093294E"/>
    <w:rsid w:val="00932BEC"/>
    <w:rsid w:val="00932C4E"/>
    <w:rsid w:val="00935523"/>
    <w:rsid w:val="00935B02"/>
    <w:rsid w:val="00937493"/>
    <w:rsid w:val="00937A6D"/>
    <w:rsid w:val="00940EFB"/>
    <w:rsid w:val="00940F08"/>
    <w:rsid w:val="0094496E"/>
    <w:rsid w:val="00945B7D"/>
    <w:rsid w:val="00947D83"/>
    <w:rsid w:val="009509DB"/>
    <w:rsid w:val="0095117B"/>
    <w:rsid w:val="00952C6B"/>
    <w:rsid w:val="0095698C"/>
    <w:rsid w:val="00957514"/>
    <w:rsid w:val="009579B7"/>
    <w:rsid w:val="00957B82"/>
    <w:rsid w:val="00967F28"/>
    <w:rsid w:val="00970337"/>
    <w:rsid w:val="00970732"/>
    <w:rsid w:val="009708D0"/>
    <w:rsid w:val="009748C5"/>
    <w:rsid w:val="00975E32"/>
    <w:rsid w:val="0098007A"/>
    <w:rsid w:val="00980679"/>
    <w:rsid w:val="0098189B"/>
    <w:rsid w:val="00981BB9"/>
    <w:rsid w:val="00982C66"/>
    <w:rsid w:val="0098488B"/>
    <w:rsid w:val="00984F2B"/>
    <w:rsid w:val="009860E5"/>
    <w:rsid w:val="009873C7"/>
    <w:rsid w:val="00990ECD"/>
    <w:rsid w:val="00990F7B"/>
    <w:rsid w:val="00991843"/>
    <w:rsid w:val="00991DA4"/>
    <w:rsid w:val="009927A0"/>
    <w:rsid w:val="00992B43"/>
    <w:rsid w:val="0099472A"/>
    <w:rsid w:val="00994C7E"/>
    <w:rsid w:val="00996FA7"/>
    <w:rsid w:val="009976BF"/>
    <w:rsid w:val="00997EED"/>
    <w:rsid w:val="009A242C"/>
    <w:rsid w:val="009A3B70"/>
    <w:rsid w:val="009A3CC1"/>
    <w:rsid w:val="009A49ED"/>
    <w:rsid w:val="009A579C"/>
    <w:rsid w:val="009A6B55"/>
    <w:rsid w:val="009A6BFB"/>
    <w:rsid w:val="009B2683"/>
    <w:rsid w:val="009B4DA9"/>
    <w:rsid w:val="009C491F"/>
    <w:rsid w:val="009C6F54"/>
    <w:rsid w:val="009D08C1"/>
    <w:rsid w:val="009D1935"/>
    <w:rsid w:val="009D254B"/>
    <w:rsid w:val="009D5FD5"/>
    <w:rsid w:val="009D6311"/>
    <w:rsid w:val="009D79D4"/>
    <w:rsid w:val="009E08D5"/>
    <w:rsid w:val="009E1248"/>
    <w:rsid w:val="009E2E84"/>
    <w:rsid w:val="009E4A53"/>
    <w:rsid w:val="009E55A4"/>
    <w:rsid w:val="009E5B0B"/>
    <w:rsid w:val="009F047E"/>
    <w:rsid w:val="009F10EC"/>
    <w:rsid w:val="009F5130"/>
    <w:rsid w:val="00A010D3"/>
    <w:rsid w:val="00A0346A"/>
    <w:rsid w:val="00A062BC"/>
    <w:rsid w:val="00A0662C"/>
    <w:rsid w:val="00A10F4B"/>
    <w:rsid w:val="00A12684"/>
    <w:rsid w:val="00A16C83"/>
    <w:rsid w:val="00A24ACA"/>
    <w:rsid w:val="00A2792A"/>
    <w:rsid w:val="00A27DE0"/>
    <w:rsid w:val="00A3141A"/>
    <w:rsid w:val="00A31DD3"/>
    <w:rsid w:val="00A33E0A"/>
    <w:rsid w:val="00A34566"/>
    <w:rsid w:val="00A360E5"/>
    <w:rsid w:val="00A36FEB"/>
    <w:rsid w:val="00A3757A"/>
    <w:rsid w:val="00A41A44"/>
    <w:rsid w:val="00A41EFF"/>
    <w:rsid w:val="00A446BB"/>
    <w:rsid w:val="00A4470A"/>
    <w:rsid w:val="00A456F7"/>
    <w:rsid w:val="00A52D9A"/>
    <w:rsid w:val="00A536F9"/>
    <w:rsid w:val="00A54CC1"/>
    <w:rsid w:val="00A6151D"/>
    <w:rsid w:val="00A62507"/>
    <w:rsid w:val="00A62B6A"/>
    <w:rsid w:val="00A64895"/>
    <w:rsid w:val="00A64C06"/>
    <w:rsid w:val="00A66297"/>
    <w:rsid w:val="00A701A1"/>
    <w:rsid w:val="00A70D8E"/>
    <w:rsid w:val="00A744C0"/>
    <w:rsid w:val="00A74B01"/>
    <w:rsid w:val="00A76238"/>
    <w:rsid w:val="00A77430"/>
    <w:rsid w:val="00A82171"/>
    <w:rsid w:val="00A8248C"/>
    <w:rsid w:val="00A85AD6"/>
    <w:rsid w:val="00A87AF2"/>
    <w:rsid w:val="00A908C8"/>
    <w:rsid w:val="00A92D35"/>
    <w:rsid w:val="00A93704"/>
    <w:rsid w:val="00A9482D"/>
    <w:rsid w:val="00A950D5"/>
    <w:rsid w:val="00A9668A"/>
    <w:rsid w:val="00AA3994"/>
    <w:rsid w:val="00AA6625"/>
    <w:rsid w:val="00AA757C"/>
    <w:rsid w:val="00AB096A"/>
    <w:rsid w:val="00AB2F63"/>
    <w:rsid w:val="00AB419E"/>
    <w:rsid w:val="00AB4301"/>
    <w:rsid w:val="00AB67CD"/>
    <w:rsid w:val="00AC1CAC"/>
    <w:rsid w:val="00AC68CC"/>
    <w:rsid w:val="00AD0E9E"/>
    <w:rsid w:val="00AD278D"/>
    <w:rsid w:val="00AD57F0"/>
    <w:rsid w:val="00AD5B47"/>
    <w:rsid w:val="00AD7D5E"/>
    <w:rsid w:val="00AD7E30"/>
    <w:rsid w:val="00AD7F23"/>
    <w:rsid w:val="00AE0ED6"/>
    <w:rsid w:val="00AE1A24"/>
    <w:rsid w:val="00AE42E1"/>
    <w:rsid w:val="00AE6910"/>
    <w:rsid w:val="00AE69E7"/>
    <w:rsid w:val="00AF06EF"/>
    <w:rsid w:val="00AF1482"/>
    <w:rsid w:val="00AF3008"/>
    <w:rsid w:val="00AF4E0A"/>
    <w:rsid w:val="00AF5BC8"/>
    <w:rsid w:val="00B00E6F"/>
    <w:rsid w:val="00B0487A"/>
    <w:rsid w:val="00B05D63"/>
    <w:rsid w:val="00B21631"/>
    <w:rsid w:val="00B252A2"/>
    <w:rsid w:val="00B3222F"/>
    <w:rsid w:val="00B32FEB"/>
    <w:rsid w:val="00B3491D"/>
    <w:rsid w:val="00B370ED"/>
    <w:rsid w:val="00B465ED"/>
    <w:rsid w:val="00B46725"/>
    <w:rsid w:val="00B46DCA"/>
    <w:rsid w:val="00B473AD"/>
    <w:rsid w:val="00B53AE3"/>
    <w:rsid w:val="00B57304"/>
    <w:rsid w:val="00B608C3"/>
    <w:rsid w:val="00B6177F"/>
    <w:rsid w:val="00B63200"/>
    <w:rsid w:val="00B64512"/>
    <w:rsid w:val="00B67E5B"/>
    <w:rsid w:val="00B70CAB"/>
    <w:rsid w:val="00B71200"/>
    <w:rsid w:val="00B728DD"/>
    <w:rsid w:val="00B767EA"/>
    <w:rsid w:val="00B775E8"/>
    <w:rsid w:val="00B80EE5"/>
    <w:rsid w:val="00B86147"/>
    <w:rsid w:val="00B86C78"/>
    <w:rsid w:val="00B91505"/>
    <w:rsid w:val="00B919B3"/>
    <w:rsid w:val="00B919DE"/>
    <w:rsid w:val="00B93D1F"/>
    <w:rsid w:val="00B958A8"/>
    <w:rsid w:val="00B96F3B"/>
    <w:rsid w:val="00B97A6E"/>
    <w:rsid w:val="00BA05A9"/>
    <w:rsid w:val="00BB4744"/>
    <w:rsid w:val="00BB6D75"/>
    <w:rsid w:val="00BC1770"/>
    <w:rsid w:val="00BC2E23"/>
    <w:rsid w:val="00BC3FEE"/>
    <w:rsid w:val="00BC7EE0"/>
    <w:rsid w:val="00BD21C5"/>
    <w:rsid w:val="00BD3BF4"/>
    <w:rsid w:val="00BD5843"/>
    <w:rsid w:val="00BD6F2B"/>
    <w:rsid w:val="00BE3B9C"/>
    <w:rsid w:val="00BE3CAD"/>
    <w:rsid w:val="00BF05CB"/>
    <w:rsid w:val="00BF0F53"/>
    <w:rsid w:val="00BF2DFE"/>
    <w:rsid w:val="00BF64F7"/>
    <w:rsid w:val="00C005B2"/>
    <w:rsid w:val="00C02662"/>
    <w:rsid w:val="00C03D16"/>
    <w:rsid w:val="00C07C1A"/>
    <w:rsid w:val="00C109C3"/>
    <w:rsid w:val="00C12570"/>
    <w:rsid w:val="00C165A1"/>
    <w:rsid w:val="00C20790"/>
    <w:rsid w:val="00C22129"/>
    <w:rsid w:val="00C24240"/>
    <w:rsid w:val="00C25FCB"/>
    <w:rsid w:val="00C2766B"/>
    <w:rsid w:val="00C30015"/>
    <w:rsid w:val="00C32C23"/>
    <w:rsid w:val="00C348E9"/>
    <w:rsid w:val="00C43664"/>
    <w:rsid w:val="00C4439B"/>
    <w:rsid w:val="00C45EBC"/>
    <w:rsid w:val="00C50C2A"/>
    <w:rsid w:val="00C515CF"/>
    <w:rsid w:val="00C526A8"/>
    <w:rsid w:val="00C53A2C"/>
    <w:rsid w:val="00C54C2A"/>
    <w:rsid w:val="00C55C4F"/>
    <w:rsid w:val="00C55F75"/>
    <w:rsid w:val="00C61B69"/>
    <w:rsid w:val="00C64228"/>
    <w:rsid w:val="00C64EEC"/>
    <w:rsid w:val="00C6501F"/>
    <w:rsid w:val="00C67461"/>
    <w:rsid w:val="00C70338"/>
    <w:rsid w:val="00C70C73"/>
    <w:rsid w:val="00C70DBA"/>
    <w:rsid w:val="00C7233C"/>
    <w:rsid w:val="00C747EE"/>
    <w:rsid w:val="00C74F28"/>
    <w:rsid w:val="00C75DE1"/>
    <w:rsid w:val="00C84445"/>
    <w:rsid w:val="00C8571A"/>
    <w:rsid w:val="00C86762"/>
    <w:rsid w:val="00C87D97"/>
    <w:rsid w:val="00C92B9B"/>
    <w:rsid w:val="00C9349B"/>
    <w:rsid w:val="00C94469"/>
    <w:rsid w:val="00C947D6"/>
    <w:rsid w:val="00C97B68"/>
    <w:rsid w:val="00CA056D"/>
    <w:rsid w:val="00CA09DD"/>
    <w:rsid w:val="00CA2D81"/>
    <w:rsid w:val="00CA409E"/>
    <w:rsid w:val="00CA5BE5"/>
    <w:rsid w:val="00CA6091"/>
    <w:rsid w:val="00CB03D0"/>
    <w:rsid w:val="00CB3057"/>
    <w:rsid w:val="00CB371C"/>
    <w:rsid w:val="00CB5218"/>
    <w:rsid w:val="00CC1332"/>
    <w:rsid w:val="00CC2573"/>
    <w:rsid w:val="00CC3102"/>
    <w:rsid w:val="00CC3A5F"/>
    <w:rsid w:val="00CC568E"/>
    <w:rsid w:val="00CC5ED0"/>
    <w:rsid w:val="00CC7C5D"/>
    <w:rsid w:val="00CD0DFB"/>
    <w:rsid w:val="00CD19A4"/>
    <w:rsid w:val="00CD3532"/>
    <w:rsid w:val="00CE1506"/>
    <w:rsid w:val="00CE166C"/>
    <w:rsid w:val="00CE45CC"/>
    <w:rsid w:val="00CE72A5"/>
    <w:rsid w:val="00CF2363"/>
    <w:rsid w:val="00CF39D1"/>
    <w:rsid w:val="00CF3AE4"/>
    <w:rsid w:val="00CF3B89"/>
    <w:rsid w:val="00CF4950"/>
    <w:rsid w:val="00D00368"/>
    <w:rsid w:val="00D0288D"/>
    <w:rsid w:val="00D05930"/>
    <w:rsid w:val="00D120D7"/>
    <w:rsid w:val="00D14A61"/>
    <w:rsid w:val="00D2625B"/>
    <w:rsid w:val="00D33453"/>
    <w:rsid w:val="00D33FF2"/>
    <w:rsid w:val="00D34245"/>
    <w:rsid w:val="00D364BC"/>
    <w:rsid w:val="00D3722F"/>
    <w:rsid w:val="00D408F3"/>
    <w:rsid w:val="00D413B6"/>
    <w:rsid w:val="00D42393"/>
    <w:rsid w:val="00D4392B"/>
    <w:rsid w:val="00D439B7"/>
    <w:rsid w:val="00D44D14"/>
    <w:rsid w:val="00D47A60"/>
    <w:rsid w:val="00D55892"/>
    <w:rsid w:val="00D57438"/>
    <w:rsid w:val="00D60EB7"/>
    <w:rsid w:val="00D67560"/>
    <w:rsid w:val="00D705AE"/>
    <w:rsid w:val="00D72140"/>
    <w:rsid w:val="00D73D56"/>
    <w:rsid w:val="00D73E79"/>
    <w:rsid w:val="00D77617"/>
    <w:rsid w:val="00D80702"/>
    <w:rsid w:val="00D814B6"/>
    <w:rsid w:val="00D82B39"/>
    <w:rsid w:val="00D83E66"/>
    <w:rsid w:val="00D8442E"/>
    <w:rsid w:val="00D87B15"/>
    <w:rsid w:val="00D90B5A"/>
    <w:rsid w:val="00D91A74"/>
    <w:rsid w:val="00D92200"/>
    <w:rsid w:val="00D931D8"/>
    <w:rsid w:val="00DA3AB0"/>
    <w:rsid w:val="00DA4EBD"/>
    <w:rsid w:val="00DA5D47"/>
    <w:rsid w:val="00DA735D"/>
    <w:rsid w:val="00DB01E7"/>
    <w:rsid w:val="00DB4A73"/>
    <w:rsid w:val="00DB62F8"/>
    <w:rsid w:val="00DB78C4"/>
    <w:rsid w:val="00DC2BC0"/>
    <w:rsid w:val="00DC55CB"/>
    <w:rsid w:val="00DC75D7"/>
    <w:rsid w:val="00DD1270"/>
    <w:rsid w:val="00DD20B1"/>
    <w:rsid w:val="00DD228D"/>
    <w:rsid w:val="00DD293A"/>
    <w:rsid w:val="00DD520C"/>
    <w:rsid w:val="00DE2140"/>
    <w:rsid w:val="00DE37F0"/>
    <w:rsid w:val="00DE63D5"/>
    <w:rsid w:val="00DE7157"/>
    <w:rsid w:val="00DF037C"/>
    <w:rsid w:val="00DF3E14"/>
    <w:rsid w:val="00E0011B"/>
    <w:rsid w:val="00E06F16"/>
    <w:rsid w:val="00E07432"/>
    <w:rsid w:val="00E07655"/>
    <w:rsid w:val="00E1257D"/>
    <w:rsid w:val="00E125DF"/>
    <w:rsid w:val="00E1382C"/>
    <w:rsid w:val="00E13893"/>
    <w:rsid w:val="00E14880"/>
    <w:rsid w:val="00E159D6"/>
    <w:rsid w:val="00E21031"/>
    <w:rsid w:val="00E219C8"/>
    <w:rsid w:val="00E24B0E"/>
    <w:rsid w:val="00E254E4"/>
    <w:rsid w:val="00E40788"/>
    <w:rsid w:val="00E41BF3"/>
    <w:rsid w:val="00E44264"/>
    <w:rsid w:val="00E54FB0"/>
    <w:rsid w:val="00E57929"/>
    <w:rsid w:val="00E602D5"/>
    <w:rsid w:val="00E62E1C"/>
    <w:rsid w:val="00E72DEA"/>
    <w:rsid w:val="00E73035"/>
    <w:rsid w:val="00E77387"/>
    <w:rsid w:val="00E77D63"/>
    <w:rsid w:val="00E80520"/>
    <w:rsid w:val="00E827CB"/>
    <w:rsid w:val="00E831A7"/>
    <w:rsid w:val="00E85000"/>
    <w:rsid w:val="00E85A7C"/>
    <w:rsid w:val="00E91461"/>
    <w:rsid w:val="00E927ED"/>
    <w:rsid w:val="00EA2519"/>
    <w:rsid w:val="00EA45B3"/>
    <w:rsid w:val="00EB0F80"/>
    <w:rsid w:val="00EB129E"/>
    <w:rsid w:val="00EC2A6A"/>
    <w:rsid w:val="00EC3862"/>
    <w:rsid w:val="00EC4175"/>
    <w:rsid w:val="00ED2535"/>
    <w:rsid w:val="00ED3F03"/>
    <w:rsid w:val="00ED6749"/>
    <w:rsid w:val="00ED71D5"/>
    <w:rsid w:val="00EE03EA"/>
    <w:rsid w:val="00EE1509"/>
    <w:rsid w:val="00EE4ADC"/>
    <w:rsid w:val="00EE7A00"/>
    <w:rsid w:val="00EF062C"/>
    <w:rsid w:val="00EF1DD6"/>
    <w:rsid w:val="00EF42C1"/>
    <w:rsid w:val="00EF4573"/>
    <w:rsid w:val="00EF5E18"/>
    <w:rsid w:val="00F00938"/>
    <w:rsid w:val="00F030C0"/>
    <w:rsid w:val="00F0526F"/>
    <w:rsid w:val="00F06895"/>
    <w:rsid w:val="00F06931"/>
    <w:rsid w:val="00F122ED"/>
    <w:rsid w:val="00F12737"/>
    <w:rsid w:val="00F13F2C"/>
    <w:rsid w:val="00F140A7"/>
    <w:rsid w:val="00F150BE"/>
    <w:rsid w:val="00F16B48"/>
    <w:rsid w:val="00F23500"/>
    <w:rsid w:val="00F2440A"/>
    <w:rsid w:val="00F24C41"/>
    <w:rsid w:val="00F24DD1"/>
    <w:rsid w:val="00F31CF1"/>
    <w:rsid w:val="00F37B30"/>
    <w:rsid w:val="00F419E3"/>
    <w:rsid w:val="00F42473"/>
    <w:rsid w:val="00F446DE"/>
    <w:rsid w:val="00F472DB"/>
    <w:rsid w:val="00F47907"/>
    <w:rsid w:val="00F50AA3"/>
    <w:rsid w:val="00F53B7A"/>
    <w:rsid w:val="00F568F1"/>
    <w:rsid w:val="00F572D3"/>
    <w:rsid w:val="00F600A0"/>
    <w:rsid w:val="00F624AC"/>
    <w:rsid w:val="00F647D4"/>
    <w:rsid w:val="00F64FDB"/>
    <w:rsid w:val="00F66463"/>
    <w:rsid w:val="00F67AEC"/>
    <w:rsid w:val="00F709AE"/>
    <w:rsid w:val="00F7200A"/>
    <w:rsid w:val="00F73228"/>
    <w:rsid w:val="00F738F8"/>
    <w:rsid w:val="00F741F8"/>
    <w:rsid w:val="00F751DB"/>
    <w:rsid w:val="00F766C6"/>
    <w:rsid w:val="00F83203"/>
    <w:rsid w:val="00F84195"/>
    <w:rsid w:val="00F846CD"/>
    <w:rsid w:val="00F86261"/>
    <w:rsid w:val="00F86400"/>
    <w:rsid w:val="00F935EB"/>
    <w:rsid w:val="00F9411E"/>
    <w:rsid w:val="00F9656A"/>
    <w:rsid w:val="00F96583"/>
    <w:rsid w:val="00FA07F5"/>
    <w:rsid w:val="00FA0A29"/>
    <w:rsid w:val="00FA2522"/>
    <w:rsid w:val="00FA6998"/>
    <w:rsid w:val="00FB22A6"/>
    <w:rsid w:val="00FB3442"/>
    <w:rsid w:val="00FC113D"/>
    <w:rsid w:val="00FC560C"/>
    <w:rsid w:val="00FC5B92"/>
    <w:rsid w:val="00FC73D6"/>
    <w:rsid w:val="00FD1560"/>
    <w:rsid w:val="00FD7200"/>
    <w:rsid w:val="00FE0999"/>
    <w:rsid w:val="00FE0ADA"/>
    <w:rsid w:val="00FE2DB7"/>
    <w:rsid w:val="00FE724D"/>
    <w:rsid w:val="00FF3657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DB894"/>
  <w15:docId w15:val="{D59097F9-48E8-403F-94EF-40CB261D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8C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D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5D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D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D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1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B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3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1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147"/>
  </w:style>
  <w:style w:type="paragraph" w:styleId="Footer">
    <w:name w:val="footer"/>
    <w:basedOn w:val="Normal"/>
    <w:link w:val="FooterChar"/>
    <w:uiPriority w:val="99"/>
    <w:unhideWhenUsed/>
    <w:rsid w:val="00666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147"/>
  </w:style>
  <w:style w:type="character" w:styleId="CommentReference">
    <w:name w:val="annotation reference"/>
    <w:basedOn w:val="DefaultParagraphFont"/>
    <w:uiPriority w:val="99"/>
    <w:semiHidden/>
    <w:unhideWhenUsed/>
    <w:rsid w:val="00231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E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8F3"/>
  </w:style>
  <w:style w:type="table" w:styleId="TableGrid">
    <w:name w:val="Table Grid"/>
    <w:basedOn w:val="TableNormal"/>
    <w:uiPriority w:val="39"/>
    <w:rsid w:val="005D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25E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3E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3E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3E7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D08C1"/>
    <w:rPr>
      <w:rFonts w:eastAsiaTheme="majorEastAsia" w:cstheme="majorBidi"/>
      <w:b/>
      <w:szCs w:val="32"/>
    </w:rPr>
  </w:style>
  <w:style w:type="paragraph" w:customStyle="1" w:styleId="ABCNormal">
    <w:name w:val="ABC Normal"/>
    <w:basedOn w:val="Normal"/>
    <w:semiHidden/>
    <w:rsid w:val="009D08C1"/>
    <w:pPr>
      <w:spacing w:after="140"/>
    </w:pPr>
    <w:rPr>
      <w:rFonts w:eastAsia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phatsh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ocksmith@alphatsh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tyteachingschoolhub.net/page/?title=Appropriate+Body&amp;pid=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rr@cchsg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moore@unitysp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pirationteachinghub@inspirationtrus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ssets.publishing.service.gov.uk/media/6502dcd597d3960014482e87/Statutory_Induction_for_early_career_teachers_england_.pdf" TargetMode="External"/><Relationship Id="rId2" Type="http://schemas.openxmlformats.org/officeDocument/2006/relationships/hyperlink" Target="https://assets.publishing.service.gov.uk/media/6502dcd597d3960014482e87/Statutory_Induction_for_early_career_teachers_england_.pdf" TargetMode="External"/><Relationship Id="rId1" Type="http://schemas.openxmlformats.org/officeDocument/2006/relationships/hyperlink" Target="https://assets.publishing.service.gov.uk/media/6502dcd597d3960014482e87/Statutory_Induction_for_early_career_teachers_england_.pdf" TargetMode="External"/><Relationship Id="rId5" Type="http://schemas.openxmlformats.org/officeDocument/2006/relationships/hyperlink" Target="https://assets.publishing.service.gov.uk/media/6502dcd597d3960014482e87/Statutory_Induction_for_early_career_teachers_england_.pdf" TargetMode="External"/><Relationship Id="rId4" Type="http://schemas.openxmlformats.org/officeDocument/2006/relationships/hyperlink" Target="https://assets.publishing.service.gov.uk/media/6502dcd597d3960014482e87/Statutory_Induction_for_early_career_teachers_england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2E7AEA4A2F0448D5C5A02C1AF7E8B" ma:contentTypeVersion="5" ma:contentTypeDescription="Create a new document." ma:contentTypeScope="" ma:versionID="73900b28d6521904997a743e851f859c">
  <xsd:schema xmlns:xsd="http://www.w3.org/2001/XMLSchema" xmlns:xs="http://www.w3.org/2001/XMLSchema" xmlns:p="http://schemas.microsoft.com/office/2006/metadata/properties" xmlns:ns3="eab91c9b-0063-432e-aeba-52dc9cf9961e" xmlns:ns4="c2564336-f8be-493d-b0ad-cf3b3b89c6d0" targetNamespace="http://schemas.microsoft.com/office/2006/metadata/properties" ma:root="true" ma:fieldsID="a4fac443c951d4f09a5424ad3d012f3d" ns3:_="" ns4:_="">
    <xsd:import namespace="eab91c9b-0063-432e-aeba-52dc9cf9961e"/>
    <xsd:import namespace="c2564336-f8be-493d-b0ad-cf3b3b89c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1c9b-0063-432e-aeba-52dc9cf99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4336-f8be-493d-b0ad-cf3b3b89c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C25BC-AF97-4040-941F-E556AD7FC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BDF48-0485-4A10-BE78-69A2C6012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91c9b-0063-432e-aeba-52dc9cf9961e"/>
    <ds:schemaRef ds:uri="c2564336-f8be-493d-b0ad-cf3b3b89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C6F67-D504-4C3A-B8BB-1C32CD97E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84DB5-0F06-4520-8F8F-A020AC09F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Moore</dc:creator>
  <cp:keywords/>
  <dc:description/>
  <cp:lastModifiedBy>Chloe Jones</cp:lastModifiedBy>
  <cp:revision>3</cp:revision>
  <dcterms:created xsi:type="dcterms:W3CDTF">2024-06-18T16:25:00Z</dcterms:created>
  <dcterms:modified xsi:type="dcterms:W3CDTF">2024-06-18T16:25:00Z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0x0101007CA2E7AEA4A2F0448D5C5A02C1AF7E8B</vt:lpwstr>
  </property>
</Properties>
</file>