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7F7FA" w14:textId="6D511CB4" w:rsidR="005905AD" w:rsidRPr="001877A0" w:rsidRDefault="0013537F" w:rsidP="005905AD">
      <w:pPr>
        <w:framePr w:w="5044" w:h="1805" w:hSpace="181" w:wrap="notBeside" w:vAnchor="page" w:hAnchor="page" w:x="1161" w:y="905" w:anchorLock="1"/>
        <w:shd w:val="solid" w:color="FFFFFF" w:fill="FFFFFF"/>
        <w:rPr>
          <w:sz w:val="24"/>
          <w:szCs w:val="24"/>
        </w:rPr>
      </w:pPr>
      <w:r w:rsidRPr="001877A0">
        <w:rPr>
          <w:noProof/>
          <w:sz w:val="24"/>
          <w:szCs w:val="24"/>
          <w:lang w:eastAsia="en-GB"/>
        </w:rPr>
        <w:drawing>
          <wp:anchor distT="0" distB="0" distL="114300" distR="114300" simplePos="0" relativeHeight="251657728" behindDoc="0" locked="0" layoutInCell="1" allowOverlap="1" wp14:anchorId="0203E280" wp14:editId="6A14EBA4">
            <wp:simplePos x="0" y="0"/>
            <wp:positionH relativeFrom="column">
              <wp:posOffset>4572635</wp:posOffset>
            </wp:positionH>
            <wp:positionV relativeFrom="paragraph">
              <wp:posOffset>0</wp:posOffset>
            </wp:positionV>
            <wp:extent cx="1619885" cy="494665"/>
            <wp:effectExtent l="0" t="0" r="0" b="635"/>
            <wp:wrapTight wrapText="bothSides">
              <wp:wrapPolygon edited="0">
                <wp:start x="0" y="0"/>
                <wp:lineTo x="0" y="20796"/>
                <wp:lineTo x="21338" y="20796"/>
                <wp:lineTo x="21338" y="0"/>
                <wp:lineTo x="0" y="0"/>
              </wp:wrapPolygon>
            </wp:wrapTight>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r w:rsidR="005905AD" w:rsidRPr="001877A0">
        <w:rPr>
          <w:sz w:val="24"/>
          <w:szCs w:val="24"/>
        </w:rPr>
        <w:t>Date:</w:t>
      </w:r>
      <w:bookmarkStart w:id="0" w:name="Text14"/>
      <w:r w:rsidR="005905AD" w:rsidRPr="001877A0">
        <w:rPr>
          <w:sz w:val="24"/>
          <w:szCs w:val="24"/>
        </w:rPr>
        <w:t xml:space="preserve"> </w:t>
      </w:r>
      <w:bookmarkEnd w:id="0"/>
      <w:r w:rsidR="00B667FF" w:rsidRPr="001877A0">
        <w:rPr>
          <w:sz w:val="24"/>
          <w:szCs w:val="24"/>
        </w:rPr>
        <w:t xml:space="preserve"> </w:t>
      </w:r>
      <w:r w:rsidR="00A32B67">
        <w:rPr>
          <w:sz w:val="24"/>
          <w:szCs w:val="24"/>
        </w:rPr>
        <w:t>12</w:t>
      </w:r>
      <w:r w:rsidR="00613F08">
        <w:rPr>
          <w:sz w:val="24"/>
          <w:szCs w:val="24"/>
        </w:rPr>
        <w:t xml:space="preserve"> </w:t>
      </w:r>
      <w:r w:rsidR="00A32B67">
        <w:rPr>
          <w:sz w:val="24"/>
          <w:szCs w:val="24"/>
        </w:rPr>
        <w:t>March</w:t>
      </w:r>
      <w:r w:rsidR="00D70C60" w:rsidRPr="001877A0">
        <w:rPr>
          <w:sz w:val="24"/>
          <w:szCs w:val="24"/>
        </w:rPr>
        <w:t xml:space="preserve"> 20</w:t>
      </w:r>
      <w:r w:rsidR="005703C4" w:rsidRPr="001877A0">
        <w:rPr>
          <w:sz w:val="24"/>
          <w:szCs w:val="24"/>
        </w:rPr>
        <w:t>2</w:t>
      </w:r>
      <w:r w:rsidR="00613F08">
        <w:rPr>
          <w:sz w:val="24"/>
          <w:szCs w:val="24"/>
        </w:rPr>
        <w:t>4</w:t>
      </w:r>
    </w:p>
    <w:p w14:paraId="48A11088" w14:textId="06AD193E" w:rsidR="005905AD" w:rsidRPr="0081677E" w:rsidRDefault="005905AD" w:rsidP="005905AD">
      <w:pPr>
        <w:framePr w:w="5044" w:h="1805" w:hSpace="181" w:wrap="notBeside" w:vAnchor="page" w:hAnchor="page" w:x="1161" w:y="905" w:anchorLock="1"/>
        <w:shd w:val="solid" w:color="FFFFFF" w:fill="FFFFFF"/>
        <w:rPr>
          <w:sz w:val="24"/>
          <w:szCs w:val="24"/>
        </w:rPr>
      </w:pPr>
      <w:r w:rsidRPr="001877A0">
        <w:rPr>
          <w:sz w:val="24"/>
          <w:szCs w:val="24"/>
        </w:rPr>
        <w:t>Enquiries</w:t>
      </w:r>
      <w:r w:rsidRPr="0081677E">
        <w:rPr>
          <w:sz w:val="24"/>
          <w:szCs w:val="24"/>
        </w:rPr>
        <w:t xml:space="preserve"> to: </w:t>
      </w:r>
      <w:r w:rsidR="00A32B67">
        <w:rPr>
          <w:sz w:val="24"/>
          <w:szCs w:val="24"/>
        </w:rPr>
        <w:t>Organisational Support</w:t>
      </w:r>
    </w:p>
    <w:p w14:paraId="41DA5C75" w14:textId="3E8AF209" w:rsidR="005905AD" w:rsidRPr="0081677E" w:rsidRDefault="005905AD" w:rsidP="005905AD">
      <w:pPr>
        <w:framePr w:w="5044" w:h="1805" w:hSpace="181" w:wrap="notBeside" w:vAnchor="page" w:hAnchor="page" w:x="1161" w:y="905" w:anchorLock="1"/>
        <w:shd w:val="solid" w:color="FFFFFF" w:fill="FFFFFF"/>
        <w:rPr>
          <w:sz w:val="24"/>
          <w:szCs w:val="24"/>
        </w:rPr>
      </w:pPr>
      <w:r w:rsidRPr="0081677E">
        <w:rPr>
          <w:sz w:val="24"/>
          <w:szCs w:val="24"/>
        </w:rPr>
        <w:t xml:space="preserve">Email: </w:t>
      </w:r>
      <w:r w:rsidR="00A32B67">
        <w:rPr>
          <w:sz w:val="24"/>
          <w:szCs w:val="24"/>
        </w:rPr>
        <w:t>edorgsupport@suffolk</w:t>
      </w:r>
      <w:r w:rsidR="001655F3">
        <w:rPr>
          <w:sz w:val="24"/>
          <w:szCs w:val="24"/>
        </w:rPr>
        <w:t>.gov.uk</w:t>
      </w:r>
    </w:p>
    <w:p w14:paraId="7119DB14" w14:textId="77777777" w:rsidR="005905AD" w:rsidRPr="0081677E" w:rsidRDefault="005905AD" w:rsidP="005905AD">
      <w:pPr>
        <w:framePr w:w="5044" w:h="1805" w:hSpace="181" w:wrap="notBeside" w:vAnchor="page" w:hAnchor="page" w:x="1161" w:y="905" w:anchorLock="1"/>
        <w:shd w:val="solid" w:color="FFFFFF" w:fill="FFFFFF"/>
        <w:rPr>
          <w:sz w:val="24"/>
          <w:szCs w:val="24"/>
        </w:rPr>
      </w:pPr>
    </w:p>
    <w:p w14:paraId="07F681A9" w14:textId="77777777" w:rsidR="0081677E" w:rsidRDefault="0081677E" w:rsidP="001655F3">
      <w:pPr>
        <w:pStyle w:val="Default"/>
      </w:pPr>
      <w:r>
        <w:t>To</w:t>
      </w:r>
      <w:r w:rsidR="00315380">
        <w:t>:</w:t>
      </w:r>
      <w:r>
        <w:t xml:space="preserve"> </w:t>
      </w:r>
      <w:r w:rsidR="001655F3">
        <w:t xml:space="preserve"> </w:t>
      </w:r>
      <w:r w:rsidR="001655F3" w:rsidRPr="001655F3">
        <w:t>All Headteachers and Chairs of Governors of Maintained Schools and PRUs</w:t>
      </w:r>
    </w:p>
    <w:p w14:paraId="16D8D962" w14:textId="77777777" w:rsidR="0081677E" w:rsidRDefault="0081677E" w:rsidP="0081677E">
      <w:pPr>
        <w:rPr>
          <w:sz w:val="24"/>
          <w:szCs w:val="24"/>
        </w:rPr>
      </w:pPr>
    </w:p>
    <w:p w14:paraId="181845CB" w14:textId="77777777" w:rsidR="005A5866" w:rsidRDefault="005A5866" w:rsidP="008167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5A5866" w:rsidRPr="007B6FCC" w14:paraId="3E7F4919" w14:textId="77777777" w:rsidTr="007B6FCC">
        <w:tc>
          <w:tcPr>
            <w:tcW w:w="1985" w:type="dxa"/>
          </w:tcPr>
          <w:p w14:paraId="763A3145" w14:textId="77777777" w:rsidR="005A5866" w:rsidRPr="007B6FCC" w:rsidRDefault="005A5866" w:rsidP="005A5866">
            <w:pPr>
              <w:rPr>
                <w:b/>
                <w:sz w:val="24"/>
                <w:szCs w:val="24"/>
              </w:rPr>
            </w:pPr>
            <w:r w:rsidRPr="007B6FCC">
              <w:rPr>
                <w:b/>
                <w:sz w:val="24"/>
                <w:szCs w:val="24"/>
              </w:rPr>
              <w:t>LMS Document</w:t>
            </w:r>
          </w:p>
          <w:p w14:paraId="31810A92" w14:textId="4A3FB051" w:rsidR="005A5866" w:rsidRPr="007B6FCC" w:rsidRDefault="005A5866" w:rsidP="00665EA9">
            <w:pPr>
              <w:rPr>
                <w:b/>
                <w:sz w:val="24"/>
                <w:szCs w:val="24"/>
              </w:rPr>
            </w:pPr>
            <w:r w:rsidRPr="007B6FCC">
              <w:rPr>
                <w:b/>
                <w:sz w:val="24"/>
                <w:szCs w:val="24"/>
              </w:rPr>
              <w:t>No.  20</w:t>
            </w:r>
            <w:r w:rsidR="005703C4">
              <w:rPr>
                <w:b/>
                <w:sz w:val="24"/>
                <w:szCs w:val="24"/>
              </w:rPr>
              <w:t>2</w:t>
            </w:r>
            <w:r w:rsidR="00613F08">
              <w:rPr>
                <w:b/>
                <w:sz w:val="24"/>
                <w:szCs w:val="24"/>
              </w:rPr>
              <w:t>4</w:t>
            </w:r>
            <w:r w:rsidR="001655F3">
              <w:rPr>
                <w:b/>
                <w:sz w:val="24"/>
                <w:szCs w:val="24"/>
              </w:rPr>
              <w:t>/</w:t>
            </w:r>
            <w:r w:rsidR="007E12E2">
              <w:rPr>
                <w:b/>
                <w:sz w:val="24"/>
                <w:szCs w:val="24"/>
              </w:rPr>
              <w:t>0</w:t>
            </w:r>
            <w:r w:rsidR="00A32B67">
              <w:rPr>
                <w:b/>
                <w:sz w:val="24"/>
                <w:szCs w:val="24"/>
              </w:rPr>
              <w:t>2</w:t>
            </w:r>
          </w:p>
        </w:tc>
      </w:tr>
    </w:tbl>
    <w:p w14:paraId="3424178E" w14:textId="77777777" w:rsidR="0081677E" w:rsidRDefault="0081677E" w:rsidP="0081677E">
      <w:pPr>
        <w:rPr>
          <w:sz w:val="24"/>
          <w:szCs w:val="24"/>
        </w:rPr>
      </w:pPr>
    </w:p>
    <w:p w14:paraId="67A86366" w14:textId="77777777" w:rsidR="0081677E" w:rsidRDefault="0081677E" w:rsidP="0081677E">
      <w:pPr>
        <w:rPr>
          <w:sz w:val="24"/>
          <w:szCs w:val="24"/>
        </w:rPr>
      </w:pPr>
    </w:p>
    <w:p w14:paraId="41FA1E77" w14:textId="77777777" w:rsidR="0081677E" w:rsidRPr="005703C4" w:rsidRDefault="0081677E" w:rsidP="0081677E">
      <w:pPr>
        <w:rPr>
          <w:sz w:val="24"/>
          <w:szCs w:val="24"/>
        </w:rPr>
      </w:pPr>
      <w:r w:rsidRPr="005703C4">
        <w:rPr>
          <w:sz w:val="24"/>
          <w:szCs w:val="24"/>
        </w:rPr>
        <w:t xml:space="preserve">Dear </w:t>
      </w:r>
      <w:r w:rsidR="001655F3" w:rsidRPr="005703C4">
        <w:rPr>
          <w:sz w:val="24"/>
          <w:szCs w:val="24"/>
        </w:rPr>
        <w:t>Colleagues</w:t>
      </w:r>
    </w:p>
    <w:p w14:paraId="336F8FFA" w14:textId="77777777" w:rsidR="0081677E" w:rsidRPr="005703C4" w:rsidRDefault="0081677E" w:rsidP="0081677E">
      <w:pPr>
        <w:rPr>
          <w:sz w:val="24"/>
          <w:szCs w:val="24"/>
        </w:rPr>
      </w:pPr>
    </w:p>
    <w:p w14:paraId="0C4B70CD" w14:textId="77777777" w:rsidR="00A32B67" w:rsidRDefault="00A32B67" w:rsidP="00A32B67">
      <w:pPr>
        <w:rPr>
          <w:rFonts w:cs="Arial"/>
          <w:b/>
          <w:bCs/>
        </w:rPr>
      </w:pPr>
      <w:r>
        <w:rPr>
          <w:rFonts w:cs="Arial"/>
          <w:b/>
          <w:bCs/>
        </w:rPr>
        <w:t xml:space="preserve">MAINTAINED SCHOOLS </w:t>
      </w:r>
      <w:bookmarkStart w:id="1" w:name="_Hlk158901546"/>
      <w:r>
        <w:rPr>
          <w:rFonts w:cs="Arial"/>
          <w:b/>
          <w:bCs/>
        </w:rPr>
        <w:t xml:space="preserve">– Changes to Support Staff </w:t>
      </w:r>
      <w:proofErr w:type="gramStart"/>
      <w:r>
        <w:rPr>
          <w:rFonts w:cs="Arial"/>
          <w:b/>
          <w:bCs/>
        </w:rPr>
        <w:t>pay:</w:t>
      </w:r>
      <w:proofErr w:type="gramEnd"/>
      <w:r>
        <w:rPr>
          <w:rFonts w:cs="Arial"/>
          <w:b/>
          <w:bCs/>
        </w:rPr>
        <w:t xml:space="preserve"> r</w:t>
      </w:r>
      <w:r w:rsidRPr="000D27B8">
        <w:rPr>
          <w:rFonts w:cs="Arial"/>
          <w:b/>
          <w:bCs/>
        </w:rPr>
        <w:t xml:space="preserve">emoval of </w:t>
      </w:r>
      <w:r>
        <w:rPr>
          <w:rFonts w:cs="Arial"/>
          <w:b/>
          <w:bCs/>
        </w:rPr>
        <w:t>s</w:t>
      </w:r>
      <w:r w:rsidRPr="000D27B8">
        <w:rPr>
          <w:rFonts w:cs="Arial"/>
          <w:b/>
          <w:bCs/>
        </w:rPr>
        <w:t xml:space="preserve">pinal </w:t>
      </w:r>
      <w:r>
        <w:rPr>
          <w:rFonts w:cs="Arial"/>
          <w:b/>
          <w:bCs/>
        </w:rPr>
        <w:t>c</w:t>
      </w:r>
      <w:r w:rsidRPr="000D27B8">
        <w:rPr>
          <w:rFonts w:cs="Arial"/>
          <w:b/>
          <w:bCs/>
        </w:rPr>
        <w:t xml:space="preserve">olumn </w:t>
      </w:r>
      <w:r>
        <w:rPr>
          <w:rFonts w:cs="Arial"/>
          <w:b/>
          <w:bCs/>
        </w:rPr>
        <w:t>p</w:t>
      </w:r>
      <w:r w:rsidRPr="000D27B8">
        <w:rPr>
          <w:rFonts w:cs="Arial"/>
          <w:b/>
          <w:bCs/>
        </w:rPr>
        <w:t xml:space="preserve">oint 1 from the </w:t>
      </w:r>
      <w:r>
        <w:rPr>
          <w:rFonts w:cs="Arial"/>
          <w:b/>
          <w:bCs/>
        </w:rPr>
        <w:t>g</w:t>
      </w:r>
      <w:r w:rsidRPr="000D27B8">
        <w:rPr>
          <w:rFonts w:cs="Arial"/>
          <w:b/>
          <w:bCs/>
        </w:rPr>
        <w:t xml:space="preserve">rading </w:t>
      </w:r>
      <w:r>
        <w:rPr>
          <w:rFonts w:cs="Arial"/>
          <w:b/>
          <w:bCs/>
        </w:rPr>
        <w:t>s</w:t>
      </w:r>
      <w:r w:rsidRPr="000D27B8">
        <w:rPr>
          <w:rFonts w:cs="Arial"/>
          <w:b/>
          <w:bCs/>
        </w:rPr>
        <w:t xml:space="preserve">tructure </w:t>
      </w:r>
    </w:p>
    <w:bookmarkEnd w:id="1"/>
    <w:p w14:paraId="45332CBB" w14:textId="77777777" w:rsidR="00A32B67" w:rsidRDefault="00A32B67" w:rsidP="00A32B67">
      <w:pPr>
        <w:rPr>
          <w:rFonts w:cs="Arial"/>
          <w:b/>
          <w:bCs/>
        </w:rPr>
      </w:pPr>
    </w:p>
    <w:p w14:paraId="5747EDFB" w14:textId="77777777" w:rsidR="00A32B67" w:rsidRPr="000D1C85" w:rsidRDefault="00A32B67" w:rsidP="00A32B67">
      <w:pPr>
        <w:rPr>
          <w:rFonts w:cs="Arial"/>
          <w:b/>
          <w:bCs/>
        </w:rPr>
      </w:pPr>
      <w:r w:rsidRPr="00830D02">
        <w:rPr>
          <w:rFonts w:cs="Arial"/>
        </w:rPr>
        <w:t xml:space="preserve">This letter is to advise you of changes to the support staff pay scales with effect from </w:t>
      </w:r>
      <w:r w:rsidRPr="000D1C85">
        <w:rPr>
          <w:rFonts w:cs="Arial"/>
          <w:b/>
          <w:bCs/>
        </w:rPr>
        <w:t>01 April 2023.</w:t>
      </w:r>
    </w:p>
    <w:p w14:paraId="7D818D2C" w14:textId="77777777" w:rsidR="00A32B67" w:rsidRPr="000D27B8" w:rsidRDefault="00A32B67" w:rsidP="00A32B67">
      <w:pPr>
        <w:rPr>
          <w:rFonts w:cs="Arial"/>
          <w:b/>
          <w:bCs/>
        </w:rPr>
      </w:pPr>
    </w:p>
    <w:p w14:paraId="6E11CCC3" w14:textId="77777777" w:rsidR="00A32B67" w:rsidRDefault="00A32B67" w:rsidP="00A32B67">
      <w:pPr>
        <w:rPr>
          <w:rFonts w:cs="Arial"/>
          <w:b/>
          <w:bCs/>
        </w:rPr>
      </w:pPr>
      <w:r w:rsidRPr="006B5BDA">
        <w:rPr>
          <w:rFonts w:cs="Arial"/>
          <w:b/>
          <w:bCs/>
        </w:rPr>
        <w:t xml:space="preserve">Background </w:t>
      </w:r>
      <w:r>
        <w:rPr>
          <w:rFonts w:cs="Arial"/>
          <w:b/>
          <w:bCs/>
        </w:rPr>
        <w:t>information</w:t>
      </w:r>
    </w:p>
    <w:p w14:paraId="3BE957BD" w14:textId="77777777" w:rsidR="00A32B67" w:rsidRPr="006B5BDA" w:rsidRDefault="00A32B67" w:rsidP="00A32B67">
      <w:pPr>
        <w:rPr>
          <w:rFonts w:cs="Arial"/>
          <w:b/>
          <w:bCs/>
        </w:rPr>
      </w:pPr>
    </w:p>
    <w:p w14:paraId="01D7D417" w14:textId="77777777" w:rsidR="00A32B67" w:rsidRPr="00452A13" w:rsidRDefault="00A32B67" w:rsidP="00A32B67">
      <w:pPr>
        <w:rPr>
          <w:rFonts w:cs="Arial"/>
          <w:sz w:val="22"/>
          <w:szCs w:val="22"/>
        </w:rPr>
      </w:pPr>
      <w:r w:rsidRPr="00452A13">
        <w:rPr>
          <w:rFonts w:cs="Arial"/>
          <w:sz w:val="22"/>
          <w:szCs w:val="22"/>
        </w:rPr>
        <w:t>The National Joint Council for Local Government Services (Green Book), the 2022 pay deal included the removal of Spinal Column Point (SCP) 1 from the national pay spine with effect from 1</w:t>
      </w:r>
      <w:r w:rsidRPr="00452A13">
        <w:rPr>
          <w:rFonts w:cs="Arial"/>
          <w:sz w:val="22"/>
          <w:szCs w:val="22"/>
          <w:vertAlign w:val="superscript"/>
        </w:rPr>
        <w:t>st</w:t>
      </w:r>
      <w:r w:rsidRPr="00452A13">
        <w:rPr>
          <w:rFonts w:cs="Arial"/>
          <w:sz w:val="22"/>
          <w:szCs w:val="22"/>
        </w:rPr>
        <w:t xml:space="preserve"> of April 2023. </w:t>
      </w:r>
    </w:p>
    <w:p w14:paraId="4FF03572" w14:textId="77777777" w:rsidR="00A32B67" w:rsidRPr="00452A13" w:rsidRDefault="00A32B67" w:rsidP="00A32B67">
      <w:pPr>
        <w:rPr>
          <w:rFonts w:cs="Arial"/>
          <w:sz w:val="22"/>
          <w:szCs w:val="22"/>
        </w:rPr>
      </w:pPr>
    </w:p>
    <w:p w14:paraId="4D3F2E02" w14:textId="77777777" w:rsidR="00A32B67" w:rsidRPr="00452A13" w:rsidRDefault="00A32B67" w:rsidP="00A32B67">
      <w:pPr>
        <w:rPr>
          <w:rFonts w:cs="Arial"/>
          <w:sz w:val="22"/>
          <w:szCs w:val="22"/>
        </w:rPr>
      </w:pPr>
      <w:r w:rsidRPr="00452A13">
        <w:rPr>
          <w:rFonts w:cs="Arial"/>
          <w:sz w:val="22"/>
          <w:szCs w:val="22"/>
        </w:rPr>
        <w:t>Unfortunately, the impact of the Job Evaluation project has delayed this work.  By way of an update the Job and Person Profile’s (JPP) have been reviewed, and we are drafting communications to share with you over the next few months.</w:t>
      </w:r>
    </w:p>
    <w:p w14:paraId="0BD4DA2C" w14:textId="77777777" w:rsidR="00A32B67" w:rsidRPr="00452A13" w:rsidRDefault="00A32B67" w:rsidP="00A32B67">
      <w:pPr>
        <w:rPr>
          <w:rFonts w:cs="Arial"/>
          <w:sz w:val="22"/>
          <w:szCs w:val="22"/>
        </w:rPr>
      </w:pPr>
    </w:p>
    <w:p w14:paraId="7FC27C7C" w14:textId="77777777" w:rsidR="00A32B67" w:rsidRPr="00452A13" w:rsidRDefault="00A32B67" w:rsidP="00A32B67">
      <w:pPr>
        <w:rPr>
          <w:rFonts w:cs="Arial"/>
          <w:sz w:val="22"/>
          <w:szCs w:val="22"/>
        </w:rPr>
      </w:pPr>
      <w:r w:rsidRPr="00452A13">
        <w:rPr>
          <w:rFonts w:cs="Arial"/>
          <w:sz w:val="22"/>
          <w:szCs w:val="22"/>
        </w:rPr>
        <w:t xml:space="preserve">The agreed option for the removal of Spinal Column Point 1 (SCP1) is set out in the table below “New </w:t>
      </w:r>
      <w:proofErr w:type="spellStart"/>
      <w:r w:rsidRPr="00452A13">
        <w:rPr>
          <w:rFonts w:cs="Arial"/>
          <w:sz w:val="22"/>
          <w:szCs w:val="22"/>
        </w:rPr>
        <w:t>Payscales</w:t>
      </w:r>
      <w:proofErr w:type="spellEnd"/>
      <w:r w:rsidRPr="00452A13">
        <w:rPr>
          <w:rFonts w:cs="Arial"/>
          <w:sz w:val="22"/>
          <w:szCs w:val="22"/>
        </w:rPr>
        <w:t>”.</w:t>
      </w:r>
    </w:p>
    <w:p w14:paraId="27AAA24A" w14:textId="77777777" w:rsidR="00452A13" w:rsidRPr="00452A13" w:rsidRDefault="00452A13" w:rsidP="00A32B67">
      <w:pPr>
        <w:rPr>
          <w:rFonts w:cs="Arial"/>
          <w:sz w:val="22"/>
          <w:szCs w:val="22"/>
        </w:rPr>
      </w:pPr>
    </w:p>
    <w:p w14:paraId="632E8B38" w14:textId="77777777" w:rsidR="00A32B67" w:rsidRPr="00452A13" w:rsidRDefault="00A32B67" w:rsidP="00A32B67">
      <w:pPr>
        <w:rPr>
          <w:rFonts w:cs="Arial"/>
          <w:sz w:val="22"/>
          <w:szCs w:val="22"/>
        </w:rPr>
      </w:pPr>
      <w:r w:rsidRPr="00452A13">
        <w:rPr>
          <w:rFonts w:cs="Arial"/>
          <w:sz w:val="22"/>
          <w:szCs w:val="22"/>
        </w:rPr>
        <w:t>All support staff in schools will remain on the same grades, apart from support staff in schools who are on SCP1 who will be moved to SCP2 with effect from the 1</w:t>
      </w:r>
      <w:r w:rsidRPr="00452A13">
        <w:rPr>
          <w:rFonts w:cs="Arial"/>
          <w:sz w:val="22"/>
          <w:szCs w:val="22"/>
          <w:vertAlign w:val="superscript"/>
        </w:rPr>
        <w:t>st</w:t>
      </w:r>
      <w:r w:rsidRPr="00452A13">
        <w:rPr>
          <w:rFonts w:cs="Arial"/>
          <w:sz w:val="22"/>
          <w:szCs w:val="22"/>
        </w:rPr>
        <w:t xml:space="preserve"> of April 2023. </w:t>
      </w:r>
    </w:p>
    <w:p w14:paraId="0B9FCC06" w14:textId="77777777" w:rsidR="00A32B67" w:rsidRDefault="00A32B67" w:rsidP="00A32B67">
      <w:pPr>
        <w:rPr>
          <w:rFonts w:cs="Arial"/>
        </w:rPr>
      </w:pPr>
    </w:p>
    <w:tbl>
      <w:tblPr>
        <w:tblStyle w:val="TableGrid"/>
        <w:tblW w:w="0" w:type="auto"/>
        <w:tblLook w:val="04A0" w:firstRow="1" w:lastRow="0" w:firstColumn="1" w:lastColumn="0" w:noHBand="0" w:noVBand="1"/>
      </w:tblPr>
      <w:tblGrid>
        <w:gridCol w:w="960"/>
        <w:gridCol w:w="960"/>
        <w:gridCol w:w="1052"/>
        <w:gridCol w:w="1134"/>
        <w:gridCol w:w="1134"/>
      </w:tblGrid>
      <w:tr w:rsidR="00A32B67" w:rsidRPr="00F0345C" w14:paraId="0ADBADAB" w14:textId="77777777" w:rsidTr="00D62838">
        <w:trPr>
          <w:trHeight w:val="300"/>
        </w:trPr>
        <w:tc>
          <w:tcPr>
            <w:tcW w:w="5240" w:type="dxa"/>
            <w:gridSpan w:val="5"/>
            <w:shd w:val="clear" w:color="auto" w:fill="C4BC96" w:themeFill="background2" w:themeFillShade="BF"/>
          </w:tcPr>
          <w:p w14:paraId="0C62AC25" w14:textId="77777777" w:rsidR="00A32B67" w:rsidRPr="004C6D39" w:rsidRDefault="00A32B67" w:rsidP="00D62838">
            <w:pPr>
              <w:rPr>
                <w:rFonts w:cs="Arial"/>
                <w:b/>
                <w:bCs/>
                <w:i/>
                <w:iCs/>
              </w:rPr>
            </w:pPr>
            <w:r w:rsidRPr="004C6D39">
              <w:rPr>
                <w:rFonts w:cs="Arial"/>
                <w:b/>
                <w:bCs/>
                <w:i/>
                <w:iCs/>
              </w:rPr>
              <w:t xml:space="preserve">Existing </w:t>
            </w:r>
            <w:proofErr w:type="spellStart"/>
            <w:r w:rsidRPr="004C6D39">
              <w:rPr>
                <w:rFonts w:cs="Arial"/>
                <w:b/>
                <w:bCs/>
                <w:i/>
                <w:iCs/>
              </w:rPr>
              <w:t>payscale</w:t>
            </w:r>
            <w:proofErr w:type="spellEnd"/>
          </w:p>
          <w:p w14:paraId="4072B021" w14:textId="77777777" w:rsidR="00A32B67" w:rsidRPr="00F0345C" w:rsidRDefault="00A32B67" w:rsidP="00D62838">
            <w:pPr>
              <w:rPr>
                <w:rFonts w:cs="Arial"/>
                <w:b/>
                <w:bCs/>
              </w:rPr>
            </w:pPr>
          </w:p>
        </w:tc>
      </w:tr>
      <w:tr w:rsidR="00A32B67" w:rsidRPr="00F0345C" w14:paraId="535402D3" w14:textId="77777777" w:rsidTr="00D62838">
        <w:trPr>
          <w:trHeight w:val="300"/>
        </w:trPr>
        <w:tc>
          <w:tcPr>
            <w:tcW w:w="960" w:type="dxa"/>
            <w:vMerge w:val="restart"/>
            <w:hideMark/>
          </w:tcPr>
          <w:p w14:paraId="28A23E22" w14:textId="77777777" w:rsidR="00A32B67" w:rsidRPr="00F0345C" w:rsidRDefault="00A32B67" w:rsidP="00D62838">
            <w:pPr>
              <w:rPr>
                <w:rFonts w:cs="Arial"/>
                <w:b/>
                <w:bCs/>
              </w:rPr>
            </w:pPr>
            <w:r w:rsidRPr="00F0345C">
              <w:rPr>
                <w:rFonts w:cs="Arial"/>
                <w:b/>
                <w:bCs/>
              </w:rPr>
              <w:t>Spinal P</w:t>
            </w:r>
            <w:r>
              <w:rPr>
                <w:rFonts w:cs="Arial"/>
                <w:b/>
                <w:bCs/>
              </w:rPr>
              <w:t>oin</w:t>
            </w:r>
            <w:r w:rsidRPr="00F0345C">
              <w:rPr>
                <w:rFonts w:cs="Arial"/>
                <w:b/>
                <w:bCs/>
              </w:rPr>
              <w:t>t</w:t>
            </w:r>
          </w:p>
        </w:tc>
        <w:tc>
          <w:tcPr>
            <w:tcW w:w="960" w:type="dxa"/>
            <w:hideMark/>
          </w:tcPr>
          <w:p w14:paraId="73365CFD" w14:textId="77777777" w:rsidR="00A32B67" w:rsidRPr="00F0345C" w:rsidRDefault="00A32B67" w:rsidP="00D62838">
            <w:pPr>
              <w:rPr>
                <w:rFonts w:cs="Arial"/>
                <w:b/>
                <w:bCs/>
              </w:rPr>
            </w:pPr>
            <w:r w:rsidRPr="00F0345C">
              <w:rPr>
                <w:rFonts w:cs="Arial"/>
                <w:b/>
                <w:bCs/>
              </w:rPr>
              <w:t>2023</w:t>
            </w:r>
          </w:p>
        </w:tc>
        <w:tc>
          <w:tcPr>
            <w:tcW w:w="2186" w:type="dxa"/>
            <w:gridSpan w:val="2"/>
            <w:vMerge w:val="restart"/>
            <w:hideMark/>
          </w:tcPr>
          <w:p w14:paraId="079A506C" w14:textId="77777777" w:rsidR="00A32B67" w:rsidRPr="00F0345C" w:rsidRDefault="00A32B67" w:rsidP="00D62838">
            <w:pPr>
              <w:rPr>
                <w:rFonts w:cs="Arial"/>
                <w:b/>
                <w:bCs/>
              </w:rPr>
            </w:pPr>
            <w:r w:rsidRPr="00F0345C">
              <w:rPr>
                <w:rFonts w:cs="Arial"/>
                <w:b/>
                <w:bCs/>
              </w:rPr>
              <w:t>Grades</w:t>
            </w:r>
          </w:p>
        </w:tc>
        <w:tc>
          <w:tcPr>
            <w:tcW w:w="1134" w:type="dxa"/>
            <w:vMerge w:val="restart"/>
            <w:hideMark/>
          </w:tcPr>
          <w:p w14:paraId="460BF21C" w14:textId="77777777" w:rsidR="00A32B67" w:rsidRPr="00F0345C" w:rsidRDefault="00A32B67" w:rsidP="00D62838">
            <w:pPr>
              <w:rPr>
                <w:rFonts w:cs="Arial"/>
                <w:b/>
                <w:bCs/>
              </w:rPr>
            </w:pPr>
            <w:r w:rsidRPr="00F0345C">
              <w:rPr>
                <w:rFonts w:cs="Arial"/>
                <w:b/>
                <w:bCs/>
              </w:rPr>
              <w:t>Hourly Rate</w:t>
            </w:r>
          </w:p>
        </w:tc>
      </w:tr>
      <w:tr w:rsidR="00A32B67" w:rsidRPr="00F0345C" w14:paraId="00199ACA" w14:textId="77777777" w:rsidTr="00D62838">
        <w:trPr>
          <w:trHeight w:val="288"/>
        </w:trPr>
        <w:tc>
          <w:tcPr>
            <w:tcW w:w="960" w:type="dxa"/>
            <w:vMerge/>
            <w:hideMark/>
          </w:tcPr>
          <w:p w14:paraId="58FD2CA5" w14:textId="77777777" w:rsidR="00A32B67" w:rsidRPr="00F0345C" w:rsidRDefault="00A32B67" w:rsidP="00D62838">
            <w:pPr>
              <w:rPr>
                <w:rFonts w:cs="Arial"/>
                <w:b/>
                <w:bCs/>
              </w:rPr>
            </w:pPr>
          </w:p>
        </w:tc>
        <w:tc>
          <w:tcPr>
            <w:tcW w:w="960" w:type="dxa"/>
            <w:hideMark/>
          </w:tcPr>
          <w:p w14:paraId="03A6A789" w14:textId="77777777" w:rsidR="00A32B67" w:rsidRPr="00F0345C" w:rsidRDefault="00A32B67" w:rsidP="00D62838">
            <w:pPr>
              <w:rPr>
                <w:rFonts w:cs="Arial"/>
                <w:b/>
                <w:bCs/>
              </w:rPr>
            </w:pPr>
            <w:r w:rsidRPr="00F0345C">
              <w:rPr>
                <w:rFonts w:cs="Arial"/>
                <w:b/>
                <w:bCs/>
              </w:rPr>
              <w:t>Basic</w:t>
            </w:r>
          </w:p>
        </w:tc>
        <w:tc>
          <w:tcPr>
            <w:tcW w:w="2186" w:type="dxa"/>
            <w:gridSpan w:val="2"/>
            <w:vMerge/>
            <w:hideMark/>
          </w:tcPr>
          <w:p w14:paraId="2B75F455" w14:textId="77777777" w:rsidR="00A32B67" w:rsidRPr="00F0345C" w:rsidRDefault="00A32B67" w:rsidP="00D62838">
            <w:pPr>
              <w:rPr>
                <w:rFonts w:cs="Arial"/>
                <w:b/>
                <w:bCs/>
              </w:rPr>
            </w:pPr>
          </w:p>
        </w:tc>
        <w:tc>
          <w:tcPr>
            <w:tcW w:w="1134" w:type="dxa"/>
            <w:vMerge/>
            <w:hideMark/>
          </w:tcPr>
          <w:p w14:paraId="672B383E" w14:textId="77777777" w:rsidR="00A32B67" w:rsidRPr="00F0345C" w:rsidRDefault="00A32B67" w:rsidP="00D62838">
            <w:pPr>
              <w:rPr>
                <w:rFonts w:cs="Arial"/>
                <w:b/>
                <w:bCs/>
              </w:rPr>
            </w:pPr>
          </w:p>
        </w:tc>
      </w:tr>
      <w:tr w:rsidR="00A32B67" w:rsidRPr="00F0345C" w14:paraId="2A22D138" w14:textId="77777777" w:rsidTr="00D62838">
        <w:trPr>
          <w:trHeight w:val="300"/>
        </w:trPr>
        <w:tc>
          <w:tcPr>
            <w:tcW w:w="960" w:type="dxa"/>
            <w:noWrap/>
            <w:hideMark/>
          </w:tcPr>
          <w:p w14:paraId="7153D8F3" w14:textId="77777777" w:rsidR="00A32B67" w:rsidRPr="00F0345C" w:rsidRDefault="00A32B67" w:rsidP="00D62838">
            <w:pPr>
              <w:rPr>
                <w:rFonts w:cs="Arial"/>
              </w:rPr>
            </w:pPr>
            <w:r w:rsidRPr="00F0345C">
              <w:rPr>
                <w:rFonts w:cs="Arial"/>
              </w:rPr>
              <w:t>1</w:t>
            </w:r>
          </w:p>
        </w:tc>
        <w:tc>
          <w:tcPr>
            <w:tcW w:w="960" w:type="dxa"/>
            <w:noWrap/>
            <w:hideMark/>
          </w:tcPr>
          <w:p w14:paraId="38B6CA81" w14:textId="77777777" w:rsidR="00A32B67" w:rsidRPr="00F0345C" w:rsidRDefault="00A32B67" w:rsidP="00D62838">
            <w:pPr>
              <w:rPr>
                <w:rFonts w:cs="Arial"/>
              </w:rPr>
            </w:pPr>
            <w:r w:rsidRPr="00F0345C">
              <w:rPr>
                <w:rFonts w:cs="Arial"/>
              </w:rPr>
              <w:t>22,183</w:t>
            </w:r>
          </w:p>
        </w:tc>
        <w:tc>
          <w:tcPr>
            <w:tcW w:w="1052" w:type="dxa"/>
            <w:noWrap/>
            <w:hideMark/>
          </w:tcPr>
          <w:p w14:paraId="57839173" w14:textId="77777777" w:rsidR="00A32B67" w:rsidRPr="00F0345C" w:rsidRDefault="00A32B67" w:rsidP="00D62838">
            <w:pPr>
              <w:rPr>
                <w:rFonts w:cs="Arial"/>
                <w:b/>
                <w:bCs/>
              </w:rPr>
            </w:pPr>
            <w:r w:rsidRPr="00F0345C">
              <w:rPr>
                <w:rFonts w:cs="Arial"/>
                <w:b/>
                <w:bCs/>
              </w:rPr>
              <w:t>Grade 1</w:t>
            </w:r>
          </w:p>
        </w:tc>
        <w:tc>
          <w:tcPr>
            <w:tcW w:w="1134" w:type="dxa"/>
            <w:noWrap/>
            <w:hideMark/>
          </w:tcPr>
          <w:p w14:paraId="6D6FD9C4" w14:textId="77777777" w:rsidR="00A32B67" w:rsidRPr="00F0345C" w:rsidRDefault="00A32B67" w:rsidP="00D62838">
            <w:pPr>
              <w:rPr>
                <w:rFonts w:cs="Arial"/>
                <w:b/>
                <w:bCs/>
              </w:rPr>
            </w:pPr>
            <w:r w:rsidRPr="00F0345C">
              <w:rPr>
                <w:rFonts w:cs="Arial"/>
                <w:b/>
                <w:bCs/>
              </w:rPr>
              <w:t>Grade 2</w:t>
            </w:r>
          </w:p>
        </w:tc>
        <w:tc>
          <w:tcPr>
            <w:tcW w:w="1134" w:type="dxa"/>
            <w:noWrap/>
            <w:hideMark/>
          </w:tcPr>
          <w:p w14:paraId="7702311B" w14:textId="77777777" w:rsidR="00A32B67" w:rsidRPr="00F0345C" w:rsidRDefault="00A32B67" w:rsidP="00D62838">
            <w:pPr>
              <w:rPr>
                <w:rFonts w:cs="Arial"/>
              </w:rPr>
            </w:pPr>
            <w:r w:rsidRPr="00F0345C">
              <w:rPr>
                <w:rFonts w:cs="Arial"/>
              </w:rPr>
              <w:t>11.5</w:t>
            </w:r>
            <w:r>
              <w:rPr>
                <w:rFonts w:cs="Arial"/>
              </w:rPr>
              <w:t>0</w:t>
            </w:r>
          </w:p>
        </w:tc>
      </w:tr>
      <w:tr w:rsidR="00A32B67" w:rsidRPr="00F0345C" w14:paraId="0413DC63" w14:textId="77777777" w:rsidTr="00D62838">
        <w:trPr>
          <w:trHeight w:val="300"/>
        </w:trPr>
        <w:tc>
          <w:tcPr>
            <w:tcW w:w="960" w:type="dxa"/>
            <w:noWrap/>
            <w:hideMark/>
          </w:tcPr>
          <w:p w14:paraId="14C1274A" w14:textId="77777777" w:rsidR="00A32B67" w:rsidRPr="00F0345C" w:rsidRDefault="00A32B67" w:rsidP="00D62838">
            <w:pPr>
              <w:rPr>
                <w:rFonts w:cs="Arial"/>
              </w:rPr>
            </w:pPr>
            <w:r w:rsidRPr="00F0345C">
              <w:rPr>
                <w:rFonts w:cs="Arial"/>
              </w:rPr>
              <w:t>2</w:t>
            </w:r>
          </w:p>
        </w:tc>
        <w:tc>
          <w:tcPr>
            <w:tcW w:w="960" w:type="dxa"/>
            <w:noWrap/>
            <w:hideMark/>
          </w:tcPr>
          <w:p w14:paraId="510D0278" w14:textId="77777777" w:rsidR="00A32B67" w:rsidRPr="00F0345C" w:rsidRDefault="00A32B67" w:rsidP="00D62838">
            <w:pPr>
              <w:rPr>
                <w:rFonts w:cs="Arial"/>
              </w:rPr>
            </w:pPr>
            <w:r w:rsidRPr="00F0345C">
              <w:rPr>
                <w:rFonts w:cs="Arial"/>
              </w:rPr>
              <w:t>22,367</w:t>
            </w:r>
          </w:p>
        </w:tc>
        <w:tc>
          <w:tcPr>
            <w:tcW w:w="1052" w:type="dxa"/>
            <w:noWrap/>
            <w:hideMark/>
          </w:tcPr>
          <w:p w14:paraId="7B24A575" w14:textId="77777777" w:rsidR="00A32B67" w:rsidRPr="00F0345C" w:rsidRDefault="00A32B67" w:rsidP="00D62838">
            <w:pPr>
              <w:rPr>
                <w:rFonts w:cs="Arial"/>
                <w:b/>
                <w:bCs/>
              </w:rPr>
            </w:pPr>
            <w:r w:rsidRPr="00F0345C">
              <w:rPr>
                <w:rFonts w:cs="Arial"/>
                <w:b/>
                <w:bCs/>
              </w:rPr>
              <w:t> </w:t>
            </w:r>
          </w:p>
        </w:tc>
        <w:tc>
          <w:tcPr>
            <w:tcW w:w="1134" w:type="dxa"/>
            <w:noWrap/>
            <w:hideMark/>
          </w:tcPr>
          <w:p w14:paraId="47EC80F9" w14:textId="77777777" w:rsidR="00A32B67" w:rsidRPr="00F0345C" w:rsidRDefault="00A32B67" w:rsidP="00D62838">
            <w:pPr>
              <w:rPr>
                <w:rFonts w:cs="Arial"/>
                <w:b/>
                <w:bCs/>
              </w:rPr>
            </w:pPr>
            <w:r w:rsidRPr="00F0345C">
              <w:rPr>
                <w:rFonts w:cs="Arial"/>
                <w:b/>
                <w:bCs/>
              </w:rPr>
              <w:t> </w:t>
            </w:r>
          </w:p>
        </w:tc>
        <w:tc>
          <w:tcPr>
            <w:tcW w:w="1134" w:type="dxa"/>
            <w:noWrap/>
            <w:hideMark/>
          </w:tcPr>
          <w:p w14:paraId="571CB9E1" w14:textId="77777777" w:rsidR="00A32B67" w:rsidRPr="00F0345C" w:rsidRDefault="00A32B67" w:rsidP="00D62838">
            <w:pPr>
              <w:rPr>
                <w:rFonts w:cs="Arial"/>
              </w:rPr>
            </w:pPr>
            <w:r w:rsidRPr="00F0345C">
              <w:rPr>
                <w:rFonts w:cs="Arial"/>
              </w:rPr>
              <w:t>11.59</w:t>
            </w:r>
          </w:p>
        </w:tc>
      </w:tr>
    </w:tbl>
    <w:p w14:paraId="08FA67CF" w14:textId="77777777" w:rsidR="00A32B67" w:rsidRDefault="00A32B67" w:rsidP="00A32B67">
      <w:pPr>
        <w:rPr>
          <w:rFonts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985"/>
        <w:gridCol w:w="1019"/>
        <w:gridCol w:w="1110"/>
        <w:gridCol w:w="1134"/>
        <w:gridCol w:w="992"/>
      </w:tblGrid>
      <w:tr w:rsidR="00A32B67" w:rsidRPr="006B5BDA" w14:paraId="396EE77F" w14:textId="77777777" w:rsidTr="00D62838">
        <w:trPr>
          <w:trHeight w:val="441"/>
        </w:trPr>
        <w:tc>
          <w:tcPr>
            <w:tcW w:w="5240" w:type="dxa"/>
            <w:gridSpan w:val="5"/>
            <w:shd w:val="clear" w:color="auto" w:fill="C4BC96" w:themeFill="background2" w:themeFillShade="BF"/>
            <w:noWrap/>
            <w:hideMark/>
          </w:tcPr>
          <w:p w14:paraId="096D1943" w14:textId="77777777" w:rsidR="00A32B67" w:rsidRPr="006B5BDA" w:rsidRDefault="00A32B67" w:rsidP="00D62838">
            <w:pPr>
              <w:rPr>
                <w:rFonts w:cs="Arial"/>
                <w:b/>
                <w:bCs/>
                <w:i/>
                <w:iCs/>
              </w:rPr>
            </w:pPr>
            <w:r w:rsidRPr="006B5BDA">
              <w:rPr>
                <w:rFonts w:cs="Arial"/>
                <w:b/>
                <w:bCs/>
                <w:i/>
                <w:iCs/>
              </w:rPr>
              <w:t xml:space="preserve">New </w:t>
            </w:r>
            <w:proofErr w:type="spellStart"/>
            <w:r w:rsidRPr="006B5BDA">
              <w:rPr>
                <w:rFonts w:cs="Arial"/>
                <w:b/>
                <w:bCs/>
                <w:i/>
                <w:iCs/>
              </w:rPr>
              <w:t>payscale</w:t>
            </w:r>
            <w:proofErr w:type="spellEnd"/>
          </w:p>
        </w:tc>
      </w:tr>
      <w:tr w:rsidR="00A32B67" w:rsidRPr="006B5BDA" w14:paraId="435B3F90" w14:textId="77777777" w:rsidTr="00D62838">
        <w:trPr>
          <w:trHeight w:val="312"/>
        </w:trPr>
        <w:tc>
          <w:tcPr>
            <w:tcW w:w="985" w:type="dxa"/>
            <w:vMerge w:val="restart"/>
            <w:hideMark/>
          </w:tcPr>
          <w:p w14:paraId="6EB3C9E7" w14:textId="77777777" w:rsidR="00A32B67" w:rsidRPr="006B5BDA" w:rsidRDefault="00A32B67" w:rsidP="00D62838">
            <w:pPr>
              <w:rPr>
                <w:rFonts w:cs="Arial"/>
                <w:b/>
                <w:bCs/>
              </w:rPr>
            </w:pPr>
            <w:r w:rsidRPr="006B5BDA">
              <w:rPr>
                <w:rFonts w:cs="Arial"/>
                <w:b/>
                <w:bCs/>
              </w:rPr>
              <w:t>Spinal P</w:t>
            </w:r>
            <w:r>
              <w:rPr>
                <w:rFonts w:cs="Arial"/>
                <w:b/>
                <w:bCs/>
              </w:rPr>
              <w:t>oin</w:t>
            </w:r>
            <w:r w:rsidRPr="006B5BDA">
              <w:rPr>
                <w:rFonts w:cs="Arial"/>
                <w:b/>
                <w:bCs/>
              </w:rPr>
              <w:t>t</w:t>
            </w:r>
          </w:p>
        </w:tc>
        <w:tc>
          <w:tcPr>
            <w:tcW w:w="1019" w:type="dxa"/>
            <w:hideMark/>
          </w:tcPr>
          <w:p w14:paraId="025589CC" w14:textId="77777777" w:rsidR="00A32B67" w:rsidRPr="006B5BDA" w:rsidRDefault="00A32B67" w:rsidP="00D62838">
            <w:pPr>
              <w:rPr>
                <w:rFonts w:cs="Arial"/>
                <w:b/>
                <w:bCs/>
              </w:rPr>
            </w:pPr>
            <w:r w:rsidRPr="006B5BDA">
              <w:rPr>
                <w:rFonts w:cs="Arial"/>
                <w:b/>
                <w:bCs/>
              </w:rPr>
              <w:t>2023</w:t>
            </w:r>
          </w:p>
        </w:tc>
        <w:tc>
          <w:tcPr>
            <w:tcW w:w="2244" w:type="dxa"/>
            <w:gridSpan w:val="2"/>
            <w:vMerge w:val="restart"/>
            <w:hideMark/>
          </w:tcPr>
          <w:p w14:paraId="269419B9" w14:textId="77777777" w:rsidR="00A32B67" w:rsidRPr="006B5BDA" w:rsidRDefault="00A32B67" w:rsidP="00D62838">
            <w:pPr>
              <w:rPr>
                <w:rFonts w:cs="Arial"/>
                <w:b/>
                <w:bCs/>
              </w:rPr>
            </w:pPr>
            <w:r w:rsidRPr="006B5BDA">
              <w:rPr>
                <w:rFonts w:cs="Arial"/>
                <w:b/>
                <w:bCs/>
              </w:rPr>
              <w:t>Grades</w:t>
            </w:r>
          </w:p>
        </w:tc>
        <w:tc>
          <w:tcPr>
            <w:tcW w:w="992" w:type="dxa"/>
            <w:vMerge w:val="restart"/>
            <w:hideMark/>
          </w:tcPr>
          <w:p w14:paraId="1AAB940C" w14:textId="77777777" w:rsidR="00A32B67" w:rsidRPr="006B5BDA" w:rsidRDefault="00A32B67" w:rsidP="00D62838">
            <w:pPr>
              <w:rPr>
                <w:rFonts w:cs="Arial"/>
                <w:b/>
                <w:bCs/>
              </w:rPr>
            </w:pPr>
            <w:r w:rsidRPr="006B5BDA">
              <w:rPr>
                <w:rFonts w:cs="Arial"/>
                <w:b/>
                <w:bCs/>
              </w:rPr>
              <w:t>Hourly Rate</w:t>
            </w:r>
          </w:p>
        </w:tc>
      </w:tr>
      <w:tr w:rsidR="00A32B67" w:rsidRPr="006B5BDA" w14:paraId="115A0475" w14:textId="77777777" w:rsidTr="00D62838">
        <w:trPr>
          <w:trHeight w:val="312"/>
        </w:trPr>
        <w:tc>
          <w:tcPr>
            <w:tcW w:w="985" w:type="dxa"/>
            <w:vMerge/>
            <w:hideMark/>
          </w:tcPr>
          <w:p w14:paraId="1EA261CA" w14:textId="77777777" w:rsidR="00A32B67" w:rsidRPr="006B5BDA" w:rsidRDefault="00A32B67" w:rsidP="00D62838">
            <w:pPr>
              <w:rPr>
                <w:rFonts w:cs="Arial"/>
                <w:b/>
                <w:bCs/>
              </w:rPr>
            </w:pPr>
          </w:p>
        </w:tc>
        <w:tc>
          <w:tcPr>
            <w:tcW w:w="1019" w:type="dxa"/>
            <w:hideMark/>
          </w:tcPr>
          <w:p w14:paraId="568E3A21" w14:textId="77777777" w:rsidR="00A32B67" w:rsidRPr="006B5BDA" w:rsidRDefault="00A32B67" w:rsidP="00D62838">
            <w:pPr>
              <w:rPr>
                <w:rFonts w:cs="Arial"/>
                <w:b/>
                <w:bCs/>
              </w:rPr>
            </w:pPr>
            <w:r w:rsidRPr="006B5BDA">
              <w:rPr>
                <w:rFonts w:cs="Arial"/>
                <w:b/>
                <w:bCs/>
              </w:rPr>
              <w:t>Basic</w:t>
            </w:r>
          </w:p>
        </w:tc>
        <w:tc>
          <w:tcPr>
            <w:tcW w:w="2244" w:type="dxa"/>
            <w:gridSpan w:val="2"/>
            <w:vMerge/>
            <w:hideMark/>
          </w:tcPr>
          <w:p w14:paraId="2958E339" w14:textId="77777777" w:rsidR="00A32B67" w:rsidRPr="006B5BDA" w:rsidRDefault="00A32B67" w:rsidP="00D62838">
            <w:pPr>
              <w:rPr>
                <w:rFonts w:cs="Arial"/>
                <w:b/>
                <w:bCs/>
              </w:rPr>
            </w:pPr>
          </w:p>
        </w:tc>
        <w:tc>
          <w:tcPr>
            <w:tcW w:w="992" w:type="dxa"/>
            <w:vMerge/>
            <w:hideMark/>
          </w:tcPr>
          <w:p w14:paraId="5211D660" w14:textId="77777777" w:rsidR="00A32B67" w:rsidRPr="006B5BDA" w:rsidRDefault="00A32B67" w:rsidP="00D62838">
            <w:pPr>
              <w:rPr>
                <w:rFonts w:cs="Arial"/>
                <w:b/>
                <w:bCs/>
              </w:rPr>
            </w:pPr>
          </w:p>
        </w:tc>
      </w:tr>
      <w:tr w:rsidR="00A32B67" w:rsidRPr="006B5BDA" w14:paraId="04DE4759" w14:textId="77777777" w:rsidTr="00D62838">
        <w:trPr>
          <w:trHeight w:val="324"/>
        </w:trPr>
        <w:tc>
          <w:tcPr>
            <w:tcW w:w="5240" w:type="dxa"/>
            <w:gridSpan w:val="5"/>
            <w:noWrap/>
            <w:hideMark/>
          </w:tcPr>
          <w:p w14:paraId="4569BF57" w14:textId="77777777" w:rsidR="00A32B67" w:rsidRPr="006B5BDA" w:rsidRDefault="00A32B67" w:rsidP="00D62838">
            <w:pPr>
              <w:rPr>
                <w:rFonts w:cs="Arial"/>
                <w:b/>
                <w:bCs/>
              </w:rPr>
            </w:pPr>
            <w:r w:rsidRPr="006B5BDA">
              <w:rPr>
                <w:rFonts w:cs="Arial"/>
                <w:b/>
                <w:bCs/>
              </w:rPr>
              <w:t>Point 1 removed</w:t>
            </w:r>
          </w:p>
        </w:tc>
      </w:tr>
      <w:tr w:rsidR="00A32B67" w:rsidRPr="006B5BDA" w14:paraId="74F78B3B" w14:textId="77777777" w:rsidTr="00D62838">
        <w:trPr>
          <w:trHeight w:val="324"/>
        </w:trPr>
        <w:tc>
          <w:tcPr>
            <w:tcW w:w="985" w:type="dxa"/>
            <w:noWrap/>
            <w:hideMark/>
          </w:tcPr>
          <w:p w14:paraId="5E63D388" w14:textId="77777777" w:rsidR="00A32B67" w:rsidRPr="006B5BDA" w:rsidRDefault="00A32B67" w:rsidP="00D62838">
            <w:pPr>
              <w:rPr>
                <w:rFonts w:cs="Arial"/>
              </w:rPr>
            </w:pPr>
            <w:r w:rsidRPr="006B5BDA">
              <w:rPr>
                <w:rFonts w:cs="Arial"/>
              </w:rPr>
              <w:t>2</w:t>
            </w:r>
          </w:p>
        </w:tc>
        <w:tc>
          <w:tcPr>
            <w:tcW w:w="1019" w:type="dxa"/>
            <w:noWrap/>
            <w:hideMark/>
          </w:tcPr>
          <w:p w14:paraId="36B6FD12" w14:textId="77777777" w:rsidR="00A32B67" w:rsidRPr="006B5BDA" w:rsidRDefault="00A32B67" w:rsidP="00D62838">
            <w:pPr>
              <w:rPr>
                <w:rFonts w:cs="Arial"/>
              </w:rPr>
            </w:pPr>
            <w:r w:rsidRPr="006B5BDA">
              <w:rPr>
                <w:rFonts w:cs="Arial"/>
              </w:rPr>
              <w:t>22,367</w:t>
            </w:r>
          </w:p>
        </w:tc>
        <w:tc>
          <w:tcPr>
            <w:tcW w:w="1110" w:type="dxa"/>
            <w:noWrap/>
            <w:hideMark/>
          </w:tcPr>
          <w:p w14:paraId="25176E43" w14:textId="77777777" w:rsidR="00A32B67" w:rsidRPr="006B5BDA" w:rsidRDefault="00A32B67" w:rsidP="00D62838">
            <w:pPr>
              <w:rPr>
                <w:rFonts w:cs="Arial"/>
                <w:b/>
                <w:bCs/>
              </w:rPr>
            </w:pPr>
            <w:r w:rsidRPr="006B5BDA">
              <w:rPr>
                <w:rFonts w:cs="Arial"/>
                <w:b/>
                <w:bCs/>
              </w:rPr>
              <w:t>Grade 1</w:t>
            </w:r>
          </w:p>
        </w:tc>
        <w:tc>
          <w:tcPr>
            <w:tcW w:w="1134" w:type="dxa"/>
            <w:noWrap/>
            <w:hideMark/>
          </w:tcPr>
          <w:p w14:paraId="0EEDC833" w14:textId="77777777" w:rsidR="00A32B67" w:rsidRPr="006B5BDA" w:rsidRDefault="00A32B67" w:rsidP="00D62838">
            <w:pPr>
              <w:rPr>
                <w:rFonts w:cs="Arial"/>
                <w:b/>
                <w:bCs/>
              </w:rPr>
            </w:pPr>
            <w:r w:rsidRPr="006B5BDA">
              <w:rPr>
                <w:rFonts w:cs="Arial"/>
                <w:b/>
                <w:bCs/>
              </w:rPr>
              <w:t>Grade 2</w:t>
            </w:r>
          </w:p>
        </w:tc>
        <w:tc>
          <w:tcPr>
            <w:tcW w:w="992" w:type="dxa"/>
            <w:noWrap/>
            <w:hideMark/>
          </w:tcPr>
          <w:p w14:paraId="5326076C" w14:textId="77777777" w:rsidR="00A32B67" w:rsidRPr="006B5BDA" w:rsidRDefault="00A32B67" w:rsidP="00D62838">
            <w:pPr>
              <w:rPr>
                <w:rFonts w:cs="Arial"/>
              </w:rPr>
            </w:pPr>
            <w:r w:rsidRPr="006B5BDA">
              <w:rPr>
                <w:rFonts w:cs="Arial"/>
              </w:rPr>
              <w:t>11.59</w:t>
            </w:r>
          </w:p>
        </w:tc>
      </w:tr>
    </w:tbl>
    <w:p w14:paraId="57A53DD5" w14:textId="77777777" w:rsidR="00A32B67" w:rsidRDefault="00A32B67" w:rsidP="00A32B67">
      <w:pPr>
        <w:rPr>
          <w:rFonts w:cs="Arial"/>
          <w:b/>
          <w:bCs/>
        </w:rPr>
      </w:pPr>
    </w:p>
    <w:p w14:paraId="794207B1" w14:textId="77777777" w:rsidR="00A32B67" w:rsidRPr="006C4BAE" w:rsidRDefault="00A32B67" w:rsidP="00A32B67">
      <w:pPr>
        <w:rPr>
          <w:rFonts w:cs="Arial"/>
        </w:rPr>
      </w:pPr>
    </w:p>
    <w:p w14:paraId="752E000B" w14:textId="77777777" w:rsidR="00A32B67" w:rsidRPr="006C4BAE" w:rsidRDefault="00A32B67" w:rsidP="00A32B67">
      <w:pPr>
        <w:rPr>
          <w:rFonts w:cs="Arial"/>
        </w:rPr>
      </w:pPr>
    </w:p>
    <w:p w14:paraId="00C491D2" w14:textId="77777777" w:rsidR="00A32B67" w:rsidRDefault="00A32B67" w:rsidP="00A32B67">
      <w:pPr>
        <w:rPr>
          <w:rFonts w:cs="Arial"/>
          <w:b/>
          <w:bCs/>
        </w:rPr>
      </w:pPr>
    </w:p>
    <w:p w14:paraId="101AE774" w14:textId="77777777" w:rsidR="00A32B67" w:rsidRDefault="00A32B67" w:rsidP="00A32B67">
      <w:pPr>
        <w:jc w:val="right"/>
        <w:rPr>
          <w:rFonts w:cs="Arial"/>
          <w:b/>
          <w:bCs/>
        </w:rPr>
      </w:pPr>
      <w:r>
        <w:rPr>
          <w:rFonts w:cs="Arial"/>
          <w:b/>
          <w:bCs/>
        </w:rPr>
        <w:br w:type="textWrapping" w:clear="all"/>
      </w:r>
    </w:p>
    <w:p w14:paraId="732E0F87" w14:textId="77777777" w:rsidR="00A32B67" w:rsidRPr="00452A13" w:rsidRDefault="00A32B67" w:rsidP="00A32B67">
      <w:pPr>
        <w:rPr>
          <w:rFonts w:cs="Arial"/>
          <w:sz w:val="22"/>
          <w:szCs w:val="22"/>
        </w:rPr>
      </w:pPr>
      <w:r w:rsidRPr="00452A13">
        <w:rPr>
          <w:rFonts w:cs="Arial"/>
          <w:sz w:val="22"/>
          <w:szCs w:val="22"/>
        </w:rPr>
        <w:t>If your school does not use Schools’ Choice as its payroll provider, you will need to notify your provider of the changes.</w:t>
      </w:r>
    </w:p>
    <w:p w14:paraId="491690D6" w14:textId="77777777" w:rsidR="00A32B67" w:rsidRPr="00452A13" w:rsidRDefault="00A32B67" w:rsidP="00A32B67">
      <w:pPr>
        <w:rPr>
          <w:rFonts w:cs="Arial"/>
          <w:sz w:val="22"/>
          <w:szCs w:val="22"/>
        </w:rPr>
      </w:pPr>
    </w:p>
    <w:p w14:paraId="01BF3B6F" w14:textId="77777777" w:rsidR="00A32B67" w:rsidRPr="00452A13" w:rsidRDefault="00A32B67" w:rsidP="00A32B67">
      <w:pPr>
        <w:rPr>
          <w:rFonts w:cs="Arial"/>
          <w:sz w:val="22"/>
          <w:szCs w:val="22"/>
        </w:rPr>
      </w:pPr>
      <w:r w:rsidRPr="00452A13">
        <w:rPr>
          <w:rFonts w:cs="Arial"/>
          <w:sz w:val="22"/>
          <w:szCs w:val="22"/>
        </w:rPr>
        <w:t>For budgeting purposes, the recently issued support staff spreadsheets can be updated to reflect the change.</w:t>
      </w:r>
    </w:p>
    <w:p w14:paraId="2057D510" w14:textId="77777777" w:rsidR="00A32B67" w:rsidRPr="00452A13" w:rsidRDefault="00A32B67" w:rsidP="00A32B67">
      <w:pPr>
        <w:rPr>
          <w:rFonts w:cs="Arial"/>
          <w:sz w:val="22"/>
          <w:szCs w:val="22"/>
        </w:rPr>
      </w:pPr>
      <w:r w:rsidRPr="00452A13">
        <w:rPr>
          <w:rFonts w:cs="Arial"/>
          <w:sz w:val="22"/>
          <w:szCs w:val="22"/>
        </w:rPr>
        <w:lastRenderedPageBreak/>
        <w:t>Schools will need to update the pay scale information in SIMs.net – guidance on this and updating the support staff spreadsheet will be provided by the Schools’ Choice Finance team very shortly.</w:t>
      </w:r>
    </w:p>
    <w:p w14:paraId="64958215" w14:textId="77777777" w:rsidR="00A32B67" w:rsidRPr="00452A13" w:rsidRDefault="00A32B67" w:rsidP="00A32B67">
      <w:pPr>
        <w:rPr>
          <w:rFonts w:cs="Arial"/>
          <w:sz w:val="22"/>
          <w:szCs w:val="22"/>
        </w:rPr>
      </w:pPr>
    </w:p>
    <w:p w14:paraId="56AC441B" w14:textId="77777777" w:rsidR="00A32B67" w:rsidRPr="00452A13" w:rsidRDefault="00A32B67" w:rsidP="00A32B67">
      <w:pPr>
        <w:rPr>
          <w:rFonts w:cs="Arial"/>
          <w:b/>
          <w:bCs/>
          <w:sz w:val="22"/>
          <w:szCs w:val="22"/>
        </w:rPr>
      </w:pPr>
      <w:r w:rsidRPr="00452A13">
        <w:rPr>
          <w:rFonts w:cs="Arial"/>
          <w:b/>
          <w:bCs/>
          <w:sz w:val="22"/>
          <w:szCs w:val="22"/>
        </w:rPr>
        <w:t>As previously noted, employees who are currently on pay point 1 will automatically receive a raise of one spinal point, to Grade 1, point 2, which is the only point within Grade 1, so there is no further scope to receive an incremental pay award within this grade.</w:t>
      </w:r>
    </w:p>
    <w:p w14:paraId="29BDAFE7" w14:textId="77777777" w:rsidR="00A32B67" w:rsidRPr="00452A13" w:rsidRDefault="00A32B67" w:rsidP="00A32B67">
      <w:pPr>
        <w:rPr>
          <w:rFonts w:cs="Arial"/>
          <w:b/>
          <w:bCs/>
          <w:sz w:val="22"/>
          <w:szCs w:val="22"/>
        </w:rPr>
      </w:pPr>
    </w:p>
    <w:p w14:paraId="6D120090" w14:textId="77777777" w:rsidR="00A32B67" w:rsidRPr="00452A13" w:rsidRDefault="00A32B67" w:rsidP="00A32B67">
      <w:pPr>
        <w:rPr>
          <w:rFonts w:cs="Arial"/>
          <w:sz w:val="22"/>
          <w:szCs w:val="22"/>
        </w:rPr>
      </w:pPr>
      <w:r w:rsidRPr="00452A13">
        <w:rPr>
          <w:rFonts w:cs="Arial"/>
          <w:sz w:val="22"/>
          <w:szCs w:val="22"/>
        </w:rPr>
        <w:t>This will be implemented in March 2024 and affected staff will receive the increase with their pay at the end of March 2024, backdated to 1 April 2023.</w:t>
      </w:r>
    </w:p>
    <w:p w14:paraId="66AC97BC" w14:textId="77777777" w:rsidR="00A32B67" w:rsidRPr="00452A13" w:rsidRDefault="00A32B67" w:rsidP="00A32B67">
      <w:pPr>
        <w:rPr>
          <w:rFonts w:cs="Arial"/>
          <w:sz w:val="22"/>
          <w:szCs w:val="22"/>
        </w:rPr>
      </w:pPr>
    </w:p>
    <w:p w14:paraId="0645F838" w14:textId="77777777" w:rsidR="00A32B67" w:rsidRPr="00452A13" w:rsidRDefault="00A32B67" w:rsidP="00A32B67">
      <w:pPr>
        <w:rPr>
          <w:rFonts w:cs="Arial"/>
          <w:sz w:val="22"/>
          <w:szCs w:val="22"/>
        </w:rPr>
      </w:pPr>
      <w:r w:rsidRPr="00452A13">
        <w:rPr>
          <w:rFonts w:cs="Arial"/>
          <w:sz w:val="22"/>
          <w:szCs w:val="22"/>
        </w:rPr>
        <w:t>FAQs providing further information are contained in Appendix 1.</w:t>
      </w:r>
    </w:p>
    <w:p w14:paraId="4550258E" w14:textId="77777777" w:rsidR="00A32B67" w:rsidRPr="00452A13" w:rsidRDefault="00A32B67" w:rsidP="00A32B67">
      <w:pPr>
        <w:rPr>
          <w:rFonts w:cs="Arial"/>
          <w:sz w:val="22"/>
          <w:szCs w:val="22"/>
        </w:rPr>
      </w:pPr>
    </w:p>
    <w:p w14:paraId="2EBD8EAE" w14:textId="77777777" w:rsidR="00A32B67" w:rsidRPr="00452A13" w:rsidRDefault="00A32B67" w:rsidP="00A32B67">
      <w:pPr>
        <w:rPr>
          <w:rFonts w:cs="Arial"/>
          <w:sz w:val="22"/>
          <w:szCs w:val="22"/>
        </w:rPr>
      </w:pPr>
      <w:r w:rsidRPr="00452A13">
        <w:rPr>
          <w:rFonts w:cs="Arial"/>
          <w:sz w:val="22"/>
          <w:szCs w:val="22"/>
        </w:rPr>
        <w:t xml:space="preserve">Please can you arrange for </w:t>
      </w:r>
      <w:bookmarkStart w:id="2" w:name="_Hlk160187235"/>
      <w:r w:rsidRPr="00452A13">
        <w:rPr>
          <w:rFonts w:cs="Arial"/>
          <w:sz w:val="22"/>
          <w:szCs w:val="22"/>
        </w:rPr>
        <w:t>a copy of this LMS letter to be placed in the personnel file of each member of your support staff on spinal point 1</w:t>
      </w:r>
      <w:bookmarkEnd w:id="2"/>
      <w:r w:rsidRPr="00452A13">
        <w:rPr>
          <w:rFonts w:cs="Arial"/>
          <w:sz w:val="22"/>
          <w:szCs w:val="22"/>
        </w:rPr>
        <w:t>, to provide documentation for an audit trail for the change in spinal point number.</w:t>
      </w:r>
    </w:p>
    <w:p w14:paraId="391777BD" w14:textId="77777777" w:rsidR="00A32B67" w:rsidRPr="00452A13" w:rsidRDefault="00A32B67" w:rsidP="00A32B67">
      <w:pPr>
        <w:rPr>
          <w:rFonts w:cs="Arial"/>
          <w:sz w:val="22"/>
          <w:szCs w:val="22"/>
        </w:rPr>
      </w:pPr>
    </w:p>
    <w:p w14:paraId="54594EEC" w14:textId="77777777" w:rsidR="00A32B67" w:rsidRPr="00452A13" w:rsidRDefault="00A32B67" w:rsidP="00A32B67">
      <w:pPr>
        <w:rPr>
          <w:rFonts w:cs="Arial"/>
          <w:sz w:val="22"/>
          <w:szCs w:val="22"/>
        </w:rPr>
      </w:pPr>
      <w:r w:rsidRPr="00452A13">
        <w:rPr>
          <w:rFonts w:cs="Arial"/>
          <w:sz w:val="22"/>
          <w:szCs w:val="22"/>
        </w:rPr>
        <w:t xml:space="preserve">As mentioned above, further work on the pay scales is being undertaken as part of the Job Evaluation project.  This work involves resolving the overlap in pay bands 1 and 2 and retaining the mid-point bar within the pay bands. </w:t>
      </w:r>
    </w:p>
    <w:p w14:paraId="01359598" w14:textId="77777777" w:rsidR="00A32B67" w:rsidRPr="00452A13" w:rsidRDefault="00A32B67" w:rsidP="00A32B67">
      <w:pPr>
        <w:rPr>
          <w:rFonts w:cs="Arial"/>
          <w:sz w:val="22"/>
          <w:szCs w:val="22"/>
        </w:rPr>
      </w:pPr>
    </w:p>
    <w:p w14:paraId="7FB8A43C" w14:textId="77777777" w:rsidR="00A32B67" w:rsidRDefault="00A32B67" w:rsidP="00A32B67">
      <w:pPr>
        <w:rPr>
          <w:rFonts w:cs="Arial"/>
          <w:sz w:val="22"/>
          <w:szCs w:val="22"/>
        </w:rPr>
      </w:pPr>
      <w:r w:rsidRPr="00452A13">
        <w:rPr>
          <w:rFonts w:cs="Arial"/>
          <w:sz w:val="22"/>
          <w:szCs w:val="22"/>
        </w:rPr>
        <w:t>If you have any queries about the content of this letter, please contact the appropriate team in Schools’ Choice, via the Schools’ Choice contact centre on 0300 123 1420:</w:t>
      </w:r>
    </w:p>
    <w:p w14:paraId="72219D81" w14:textId="77777777" w:rsidR="00452A13" w:rsidRPr="00452A13" w:rsidRDefault="00452A13" w:rsidP="00A32B67">
      <w:pPr>
        <w:rPr>
          <w:rFonts w:cs="Arial"/>
          <w:sz w:val="22"/>
          <w:szCs w:val="22"/>
        </w:rPr>
      </w:pPr>
    </w:p>
    <w:p w14:paraId="69817E97" w14:textId="77777777" w:rsidR="00A32B67" w:rsidRPr="00452A13" w:rsidRDefault="00A32B67" w:rsidP="00A32B67">
      <w:pPr>
        <w:rPr>
          <w:rFonts w:cs="Arial"/>
          <w:sz w:val="22"/>
          <w:szCs w:val="22"/>
        </w:rPr>
      </w:pPr>
      <w:r w:rsidRPr="00452A13">
        <w:rPr>
          <w:rFonts w:cs="Arial"/>
          <w:sz w:val="22"/>
          <w:szCs w:val="22"/>
        </w:rPr>
        <w:tab/>
        <w:t xml:space="preserve">Finance – option </w:t>
      </w:r>
      <w:proofErr w:type="gramStart"/>
      <w:r w:rsidRPr="00452A13">
        <w:rPr>
          <w:rFonts w:cs="Arial"/>
          <w:sz w:val="22"/>
          <w:szCs w:val="22"/>
        </w:rPr>
        <w:t>1</w:t>
      </w:r>
      <w:proofErr w:type="gramEnd"/>
    </w:p>
    <w:p w14:paraId="27E268B5" w14:textId="77777777" w:rsidR="00A32B67" w:rsidRPr="00452A13" w:rsidRDefault="00A32B67" w:rsidP="00A32B67">
      <w:pPr>
        <w:rPr>
          <w:rFonts w:cs="Arial"/>
          <w:sz w:val="22"/>
          <w:szCs w:val="22"/>
        </w:rPr>
      </w:pPr>
      <w:r w:rsidRPr="00452A13">
        <w:rPr>
          <w:rFonts w:cs="Arial"/>
          <w:sz w:val="22"/>
          <w:szCs w:val="22"/>
        </w:rPr>
        <w:tab/>
        <w:t>Payroll and HR Processing – Option 2</w:t>
      </w:r>
    </w:p>
    <w:p w14:paraId="33D7B947" w14:textId="77777777" w:rsidR="00A32B67" w:rsidRPr="00452A13" w:rsidRDefault="00A32B67" w:rsidP="00A32B67">
      <w:pPr>
        <w:rPr>
          <w:rFonts w:cs="Arial"/>
          <w:sz w:val="22"/>
          <w:szCs w:val="22"/>
        </w:rPr>
      </w:pPr>
      <w:r w:rsidRPr="00452A13">
        <w:rPr>
          <w:rFonts w:cs="Arial"/>
          <w:sz w:val="22"/>
          <w:szCs w:val="22"/>
        </w:rPr>
        <w:tab/>
        <w:t xml:space="preserve">HR Consultancy – option 7 </w:t>
      </w:r>
    </w:p>
    <w:p w14:paraId="75EBA43E" w14:textId="77777777" w:rsidR="00A32B67" w:rsidRPr="00452A13" w:rsidRDefault="00A32B67" w:rsidP="00A32B67">
      <w:pPr>
        <w:rPr>
          <w:rFonts w:cs="Arial"/>
          <w:sz w:val="22"/>
          <w:szCs w:val="22"/>
        </w:rPr>
      </w:pPr>
    </w:p>
    <w:p w14:paraId="6C08DB5A" w14:textId="77777777" w:rsidR="00A32B67" w:rsidRPr="00452A13" w:rsidRDefault="00A32B67" w:rsidP="00A32B67">
      <w:pPr>
        <w:rPr>
          <w:rFonts w:cs="Arial"/>
          <w:sz w:val="22"/>
          <w:szCs w:val="22"/>
        </w:rPr>
      </w:pPr>
      <w:r w:rsidRPr="00452A13">
        <w:rPr>
          <w:rFonts w:cs="Arial"/>
          <w:sz w:val="22"/>
          <w:szCs w:val="22"/>
        </w:rPr>
        <w:t>Yours sincerely</w:t>
      </w:r>
    </w:p>
    <w:p w14:paraId="0EA8235B" w14:textId="77777777" w:rsidR="004E034F" w:rsidRDefault="00452A13" w:rsidP="00CB71FD">
      <w:pPr>
        <w:pStyle w:val="NormalWeb"/>
        <w:rPr>
          <w:rFonts w:cs="Arial"/>
          <w:sz w:val="22"/>
          <w:szCs w:val="22"/>
        </w:rPr>
      </w:pPr>
      <w:r>
        <w:rPr>
          <w:noProof/>
        </w:rPr>
        <w:drawing>
          <wp:inline distT="0" distB="0" distL="0" distR="0" wp14:anchorId="4885BCB0" wp14:editId="1CF15122">
            <wp:extent cx="2222407" cy="946150"/>
            <wp:effectExtent l="0" t="0" r="6985" b="6350"/>
            <wp:docPr id="2092264250" name="Picture 3" descr="A black and white drawing of a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264250" name="Picture 3" descr="A black and white drawing of a c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913" cy="951900"/>
                    </a:xfrm>
                    <a:prstGeom prst="rect">
                      <a:avLst/>
                    </a:prstGeom>
                    <a:noFill/>
                    <a:ln>
                      <a:noFill/>
                    </a:ln>
                  </pic:spPr>
                </pic:pic>
              </a:graphicData>
            </a:graphic>
          </wp:inline>
        </w:drawing>
      </w:r>
    </w:p>
    <w:p w14:paraId="5822FB6D" w14:textId="6EA0173B" w:rsidR="00A32B67" w:rsidRPr="004E034F" w:rsidRDefault="00452A13" w:rsidP="00CB71FD">
      <w:pPr>
        <w:pStyle w:val="NormalWeb"/>
        <w:rPr>
          <w:rFonts w:cs="Arial"/>
          <w:sz w:val="22"/>
          <w:szCs w:val="22"/>
        </w:rPr>
      </w:pPr>
      <w:r w:rsidRPr="00CB71FD">
        <w:rPr>
          <w:rFonts w:ascii="Arial" w:hAnsi="Arial" w:cs="Arial"/>
          <w:sz w:val="22"/>
          <w:szCs w:val="22"/>
        </w:rPr>
        <w:t>Emma Laflin</w:t>
      </w:r>
    </w:p>
    <w:p w14:paraId="014A662A" w14:textId="7B541860" w:rsidR="00452A13" w:rsidRPr="004E034F" w:rsidRDefault="00452A13" w:rsidP="00A32B67">
      <w:pPr>
        <w:rPr>
          <w:rFonts w:cs="Arial"/>
          <w:sz w:val="22"/>
          <w:szCs w:val="22"/>
        </w:rPr>
      </w:pPr>
      <w:r w:rsidRPr="004E034F">
        <w:rPr>
          <w:rFonts w:cs="Arial"/>
          <w:sz w:val="22"/>
          <w:szCs w:val="22"/>
        </w:rPr>
        <w:t>Head of Organisational Support</w:t>
      </w:r>
    </w:p>
    <w:p w14:paraId="196839A8" w14:textId="1E4E7335" w:rsidR="00CB71FD" w:rsidRPr="004E034F" w:rsidRDefault="00CB71FD" w:rsidP="00A32B67">
      <w:pPr>
        <w:rPr>
          <w:rFonts w:cs="Arial"/>
          <w:sz w:val="22"/>
          <w:szCs w:val="22"/>
        </w:rPr>
      </w:pPr>
      <w:r w:rsidRPr="004E034F">
        <w:rPr>
          <w:rFonts w:cs="Arial"/>
          <w:sz w:val="22"/>
          <w:szCs w:val="22"/>
        </w:rPr>
        <w:t xml:space="preserve">Education, </w:t>
      </w:r>
      <w:proofErr w:type="gramStart"/>
      <w:r w:rsidRPr="004E034F">
        <w:rPr>
          <w:rFonts w:cs="Arial"/>
          <w:sz w:val="22"/>
          <w:szCs w:val="22"/>
        </w:rPr>
        <w:t>Skills</w:t>
      </w:r>
      <w:proofErr w:type="gramEnd"/>
      <w:r w:rsidRPr="004E034F">
        <w:rPr>
          <w:rFonts w:cs="Arial"/>
          <w:sz w:val="22"/>
          <w:szCs w:val="22"/>
        </w:rPr>
        <w:t xml:space="preserve"> and Learning </w:t>
      </w:r>
    </w:p>
    <w:p w14:paraId="060C9046" w14:textId="7F67BA43" w:rsidR="00CB71FD" w:rsidRPr="004E034F" w:rsidRDefault="000A3FE6" w:rsidP="00A32B67">
      <w:pPr>
        <w:rPr>
          <w:rFonts w:cs="Arial"/>
          <w:sz w:val="22"/>
          <w:szCs w:val="22"/>
        </w:rPr>
      </w:pPr>
      <w:r w:rsidRPr="004E034F">
        <w:rPr>
          <w:rFonts w:cs="Arial"/>
          <w:color w:val="000000"/>
          <w:sz w:val="22"/>
          <w:szCs w:val="22"/>
          <w:lang w:eastAsia="en-GB"/>
        </w:rPr>
        <w:t>Directorate of Children and Young People’s Services</w:t>
      </w:r>
    </w:p>
    <w:p w14:paraId="51145E83" w14:textId="77777777" w:rsidR="00A32B67" w:rsidRPr="00452A13" w:rsidRDefault="00A32B67" w:rsidP="00A32B67">
      <w:pPr>
        <w:rPr>
          <w:rFonts w:cs="Arial"/>
          <w:sz w:val="22"/>
          <w:szCs w:val="22"/>
        </w:rPr>
      </w:pPr>
      <w:r w:rsidRPr="00452A13">
        <w:rPr>
          <w:rFonts w:cs="Arial"/>
          <w:sz w:val="22"/>
          <w:szCs w:val="22"/>
        </w:rPr>
        <w:br w:type="page"/>
      </w:r>
    </w:p>
    <w:p w14:paraId="1C61CCB4" w14:textId="77777777" w:rsidR="00A32B67" w:rsidRPr="00452A13" w:rsidRDefault="00A32B67" w:rsidP="00A32B67">
      <w:pPr>
        <w:rPr>
          <w:rFonts w:cs="Arial"/>
          <w:b/>
          <w:bCs/>
          <w:sz w:val="22"/>
          <w:szCs w:val="22"/>
        </w:rPr>
      </w:pPr>
      <w:r w:rsidRPr="00452A13">
        <w:rPr>
          <w:rFonts w:cs="Arial"/>
          <w:b/>
          <w:bCs/>
          <w:sz w:val="22"/>
          <w:szCs w:val="22"/>
        </w:rPr>
        <w:lastRenderedPageBreak/>
        <w:t xml:space="preserve">Appendix 1 </w:t>
      </w:r>
    </w:p>
    <w:p w14:paraId="6EF6E3FD" w14:textId="77777777" w:rsidR="00A32B67" w:rsidRPr="00452A13" w:rsidRDefault="00A32B67" w:rsidP="00A32B67">
      <w:pPr>
        <w:rPr>
          <w:rFonts w:cs="Arial"/>
          <w:b/>
          <w:bCs/>
          <w:sz w:val="22"/>
          <w:szCs w:val="22"/>
        </w:rPr>
      </w:pPr>
    </w:p>
    <w:p w14:paraId="10954F82" w14:textId="77777777" w:rsidR="00A32B67" w:rsidRPr="00452A13" w:rsidRDefault="00A32B67" w:rsidP="00A32B67">
      <w:pPr>
        <w:rPr>
          <w:rFonts w:cs="Arial"/>
          <w:b/>
          <w:bCs/>
          <w:sz w:val="22"/>
          <w:szCs w:val="22"/>
        </w:rPr>
      </w:pPr>
      <w:r w:rsidRPr="00452A13">
        <w:rPr>
          <w:rFonts w:cs="Arial"/>
          <w:b/>
          <w:bCs/>
          <w:sz w:val="22"/>
          <w:szCs w:val="22"/>
        </w:rPr>
        <w:t xml:space="preserve">FAQs on changes to support staff </w:t>
      </w:r>
      <w:proofErr w:type="gramStart"/>
      <w:r w:rsidRPr="00452A13">
        <w:rPr>
          <w:rFonts w:cs="Arial"/>
          <w:b/>
          <w:bCs/>
          <w:sz w:val="22"/>
          <w:szCs w:val="22"/>
        </w:rPr>
        <w:t>pay:</w:t>
      </w:r>
      <w:proofErr w:type="gramEnd"/>
      <w:r w:rsidRPr="00452A13">
        <w:rPr>
          <w:rFonts w:cs="Arial"/>
          <w:b/>
          <w:bCs/>
          <w:sz w:val="22"/>
          <w:szCs w:val="22"/>
        </w:rPr>
        <w:t xml:space="preserve"> removal of spinal column point 1 from the grading structure </w:t>
      </w:r>
    </w:p>
    <w:p w14:paraId="4B17E599" w14:textId="77777777" w:rsidR="00A32B67" w:rsidRPr="00452A13" w:rsidRDefault="00A32B67" w:rsidP="00A32B67">
      <w:pPr>
        <w:rPr>
          <w:rFonts w:cs="Arial"/>
          <w:b/>
          <w:bCs/>
          <w:sz w:val="22"/>
          <w:szCs w:val="22"/>
        </w:rPr>
      </w:pPr>
    </w:p>
    <w:tbl>
      <w:tblPr>
        <w:tblStyle w:val="TableGrid"/>
        <w:tblW w:w="0" w:type="auto"/>
        <w:tblLook w:val="04A0" w:firstRow="1" w:lastRow="0" w:firstColumn="1" w:lastColumn="0" w:noHBand="0" w:noVBand="1"/>
      </w:tblPr>
      <w:tblGrid>
        <w:gridCol w:w="3114"/>
        <w:gridCol w:w="5902"/>
      </w:tblGrid>
      <w:tr w:rsidR="00A32B67" w:rsidRPr="00452A13" w14:paraId="555C348A" w14:textId="77777777" w:rsidTr="00D62838">
        <w:tc>
          <w:tcPr>
            <w:tcW w:w="3114" w:type="dxa"/>
          </w:tcPr>
          <w:p w14:paraId="6ED00156" w14:textId="77777777" w:rsidR="00A32B67" w:rsidRPr="00452A13" w:rsidRDefault="00A32B67" w:rsidP="00D62838">
            <w:pPr>
              <w:rPr>
                <w:rFonts w:cs="Arial"/>
                <w:b/>
                <w:bCs/>
                <w:sz w:val="22"/>
                <w:szCs w:val="22"/>
              </w:rPr>
            </w:pPr>
          </w:p>
          <w:p w14:paraId="3CD02984" w14:textId="77777777" w:rsidR="00A32B67" w:rsidRPr="00452A13" w:rsidRDefault="00A32B67" w:rsidP="00D62838">
            <w:pPr>
              <w:rPr>
                <w:rFonts w:cs="Arial"/>
                <w:b/>
                <w:bCs/>
                <w:sz w:val="22"/>
                <w:szCs w:val="22"/>
              </w:rPr>
            </w:pPr>
            <w:r w:rsidRPr="00452A13">
              <w:rPr>
                <w:rFonts w:cs="Arial"/>
                <w:b/>
                <w:bCs/>
                <w:sz w:val="22"/>
                <w:szCs w:val="22"/>
              </w:rPr>
              <w:t xml:space="preserve">Question </w:t>
            </w:r>
          </w:p>
          <w:p w14:paraId="18D58EBD" w14:textId="77777777" w:rsidR="00A32B67" w:rsidRPr="00452A13" w:rsidRDefault="00A32B67" w:rsidP="00D62838">
            <w:pPr>
              <w:rPr>
                <w:rFonts w:cs="Arial"/>
                <w:b/>
                <w:bCs/>
                <w:sz w:val="22"/>
                <w:szCs w:val="22"/>
              </w:rPr>
            </w:pPr>
          </w:p>
        </w:tc>
        <w:tc>
          <w:tcPr>
            <w:tcW w:w="5902" w:type="dxa"/>
          </w:tcPr>
          <w:p w14:paraId="53D19DB5" w14:textId="77777777" w:rsidR="00A32B67" w:rsidRPr="00452A13" w:rsidRDefault="00A32B67" w:rsidP="00D62838">
            <w:pPr>
              <w:rPr>
                <w:rFonts w:cs="Arial"/>
                <w:b/>
                <w:bCs/>
                <w:sz w:val="22"/>
                <w:szCs w:val="22"/>
              </w:rPr>
            </w:pPr>
          </w:p>
          <w:p w14:paraId="2B9C19AC" w14:textId="77777777" w:rsidR="00A32B67" w:rsidRPr="00452A13" w:rsidRDefault="00A32B67" w:rsidP="00D62838">
            <w:pPr>
              <w:rPr>
                <w:rFonts w:cs="Arial"/>
                <w:b/>
                <w:bCs/>
                <w:sz w:val="22"/>
                <w:szCs w:val="22"/>
              </w:rPr>
            </w:pPr>
            <w:r w:rsidRPr="00452A13">
              <w:rPr>
                <w:rFonts w:cs="Arial"/>
                <w:b/>
                <w:bCs/>
                <w:sz w:val="22"/>
                <w:szCs w:val="22"/>
              </w:rPr>
              <w:t>Answer</w:t>
            </w:r>
          </w:p>
          <w:p w14:paraId="1E91AB10" w14:textId="77777777" w:rsidR="00A32B67" w:rsidRPr="00452A13" w:rsidRDefault="00A32B67" w:rsidP="00D62838">
            <w:pPr>
              <w:rPr>
                <w:rFonts w:cs="Arial"/>
                <w:b/>
                <w:bCs/>
                <w:sz w:val="22"/>
                <w:szCs w:val="22"/>
              </w:rPr>
            </w:pPr>
          </w:p>
        </w:tc>
      </w:tr>
      <w:tr w:rsidR="00A32B67" w:rsidRPr="00452A13" w14:paraId="25CFDB53" w14:textId="77777777" w:rsidTr="00D62838">
        <w:tc>
          <w:tcPr>
            <w:tcW w:w="3114" w:type="dxa"/>
          </w:tcPr>
          <w:p w14:paraId="4D588705" w14:textId="77777777" w:rsidR="00A32B67" w:rsidRPr="00452A13" w:rsidRDefault="00A32B67" w:rsidP="00D62838">
            <w:pPr>
              <w:rPr>
                <w:rFonts w:cs="Arial"/>
                <w:sz w:val="22"/>
                <w:szCs w:val="22"/>
              </w:rPr>
            </w:pPr>
          </w:p>
          <w:p w14:paraId="5840B271" w14:textId="77777777" w:rsidR="00A32B67" w:rsidRPr="00452A13" w:rsidRDefault="00A32B67" w:rsidP="00D62838">
            <w:pPr>
              <w:rPr>
                <w:rFonts w:cs="Arial"/>
                <w:sz w:val="22"/>
                <w:szCs w:val="22"/>
              </w:rPr>
            </w:pPr>
            <w:r w:rsidRPr="00452A13">
              <w:rPr>
                <w:rFonts w:cs="Arial"/>
                <w:sz w:val="22"/>
                <w:szCs w:val="22"/>
              </w:rPr>
              <w:t>Will the effected employee receive an individual letter?</w:t>
            </w:r>
          </w:p>
          <w:p w14:paraId="450A7AE8" w14:textId="77777777" w:rsidR="00A32B67" w:rsidRPr="00452A13" w:rsidRDefault="00A32B67" w:rsidP="00D62838">
            <w:pPr>
              <w:rPr>
                <w:rFonts w:cs="Arial"/>
                <w:sz w:val="22"/>
                <w:szCs w:val="22"/>
              </w:rPr>
            </w:pPr>
          </w:p>
        </w:tc>
        <w:tc>
          <w:tcPr>
            <w:tcW w:w="5902" w:type="dxa"/>
          </w:tcPr>
          <w:p w14:paraId="3E19F8AA" w14:textId="77777777" w:rsidR="00A32B67" w:rsidRPr="00452A13" w:rsidRDefault="00A32B67" w:rsidP="00D62838">
            <w:pPr>
              <w:rPr>
                <w:rFonts w:cs="Arial"/>
                <w:sz w:val="22"/>
                <w:szCs w:val="22"/>
              </w:rPr>
            </w:pPr>
          </w:p>
          <w:p w14:paraId="05655832" w14:textId="77777777" w:rsidR="00A32B67" w:rsidRPr="00452A13" w:rsidRDefault="00A32B67" w:rsidP="00D62838">
            <w:pPr>
              <w:rPr>
                <w:rFonts w:cs="Arial"/>
                <w:sz w:val="22"/>
                <w:szCs w:val="22"/>
              </w:rPr>
            </w:pPr>
            <w:r w:rsidRPr="00452A13">
              <w:rPr>
                <w:rFonts w:cs="Arial"/>
                <w:sz w:val="22"/>
                <w:szCs w:val="22"/>
              </w:rPr>
              <w:t xml:space="preserve">LMS letter provided dated March 2024 </w:t>
            </w:r>
          </w:p>
          <w:p w14:paraId="1BF51FC0" w14:textId="77777777" w:rsidR="00A32B67" w:rsidRPr="00452A13" w:rsidRDefault="00A32B67" w:rsidP="00D62838">
            <w:pPr>
              <w:rPr>
                <w:rFonts w:cs="Arial"/>
                <w:sz w:val="22"/>
                <w:szCs w:val="22"/>
              </w:rPr>
            </w:pPr>
          </w:p>
        </w:tc>
      </w:tr>
      <w:tr w:rsidR="00A32B67" w:rsidRPr="00452A13" w14:paraId="499E264B" w14:textId="77777777" w:rsidTr="00D62838">
        <w:tc>
          <w:tcPr>
            <w:tcW w:w="3114" w:type="dxa"/>
          </w:tcPr>
          <w:p w14:paraId="321DB913" w14:textId="77777777" w:rsidR="00A32B67" w:rsidRPr="00452A13" w:rsidRDefault="00A32B67" w:rsidP="00D62838">
            <w:pPr>
              <w:rPr>
                <w:rFonts w:cs="Arial"/>
                <w:sz w:val="22"/>
                <w:szCs w:val="22"/>
              </w:rPr>
            </w:pPr>
          </w:p>
          <w:p w14:paraId="3951D10A" w14:textId="77777777" w:rsidR="00A32B67" w:rsidRPr="00452A13" w:rsidRDefault="00A32B67" w:rsidP="00D62838">
            <w:pPr>
              <w:rPr>
                <w:rFonts w:cs="Arial"/>
                <w:sz w:val="22"/>
                <w:szCs w:val="22"/>
              </w:rPr>
            </w:pPr>
            <w:r w:rsidRPr="00452A13">
              <w:rPr>
                <w:rFonts w:cs="Arial"/>
                <w:sz w:val="22"/>
                <w:szCs w:val="22"/>
              </w:rPr>
              <w:t xml:space="preserve">Will the removal of SCP 1 and the cost to move affected staff to SCP 2 be automatically changed in the </w:t>
            </w:r>
            <w:proofErr w:type="gramStart"/>
            <w:r w:rsidRPr="00452A13">
              <w:rPr>
                <w:rFonts w:cs="Arial"/>
                <w:sz w:val="22"/>
                <w:szCs w:val="22"/>
              </w:rPr>
              <w:t>schools</w:t>
            </w:r>
            <w:proofErr w:type="gramEnd"/>
            <w:r w:rsidRPr="00452A13">
              <w:rPr>
                <w:rFonts w:cs="Arial"/>
                <w:sz w:val="22"/>
                <w:szCs w:val="22"/>
              </w:rPr>
              <w:t xml:space="preserve"> finance budget?</w:t>
            </w:r>
          </w:p>
          <w:p w14:paraId="12CD3CE2" w14:textId="77777777" w:rsidR="00A32B67" w:rsidRPr="00452A13" w:rsidRDefault="00A32B67" w:rsidP="00D62838">
            <w:pPr>
              <w:rPr>
                <w:rFonts w:cs="Arial"/>
                <w:sz w:val="22"/>
                <w:szCs w:val="22"/>
              </w:rPr>
            </w:pPr>
          </w:p>
        </w:tc>
        <w:tc>
          <w:tcPr>
            <w:tcW w:w="5902" w:type="dxa"/>
          </w:tcPr>
          <w:p w14:paraId="66A5722E" w14:textId="77777777" w:rsidR="00A32B67" w:rsidRPr="00452A13" w:rsidRDefault="00A32B67" w:rsidP="00D62838">
            <w:pPr>
              <w:rPr>
                <w:rFonts w:cs="Arial"/>
                <w:sz w:val="22"/>
                <w:szCs w:val="22"/>
              </w:rPr>
            </w:pPr>
          </w:p>
          <w:p w14:paraId="741A44DF" w14:textId="77777777" w:rsidR="00A32B67" w:rsidRPr="00452A13" w:rsidRDefault="00A32B67" w:rsidP="00D62838">
            <w:pPr>
              <w:rPr>
                <w:rFonts w:cs="Arial"/>
                <w:sz w:val="22"/>
                <w:szCs w:val="22"/>
              </w:rPr>
            </w:pPr>
            <w:r w:rsidRPr="00452A13">
              <w:rPr>
                <w:rFonts w:cs="Arial"/>
                <w:sz w:val="22"/>
                <w:szCs w:val="22"/>
              </w:rPr>
              <w:t>Schools will need to update the 2024/25 support staff spreadsheet and the 2024/25 budget plan to reflect the increase in the 2024/25 budget forecast.</w:t>
            </w:r>
          </w:p>
          <w:p w14:paraId="2ED10A03" w14:textId="77777777" w:rsidR="00A32B67" w:rsidRPr="00452A13" w:rsidRDefault="00A32B67" w:rsidP="00D62838">
            <w:pPr>
              <w:rPr>
                <w:rFonts w:cs="Arial"/>
                <w:sz w:val="22"/>
                <w:szCs w:val="22"/>
              </w:rPr>
            </w:pPr>
            <w:r w:rsidRPr="00452A13">
              <w:rPr>
                <w:rFonts w:cs="Arial"/>
                <w:sz w:val="22"/>
                <w:szCs w:val="22"/>
              </w:rPr>
              <w:t>Backdated charges for the period April 23- March 24 will be included in the March salary costs submitted to schools via the weekly extract file.</w:t>
            </w:r>
          </w:p>
          <w:p w14:paraId="2479D741" w14:textId="77777777" w:rsidR="00A32B67" w:rsidRPr="00452A13" w:rsidRDefault="00A32B67" w:rsidP="00D62838">
            <w:pPr>
              <w:rPr>
                <w:rFonts w:cs="Arial"/>
                <w:sz w:val="22"/>
                <w:szCs w:val="22"/>
                <w:highlight w:val="yellow"/>
              </w:rPr>
            </w:pPr>
            <w:r w:rsidRPr="00452A13">
              <w:rPr>
                <w:rFonts w:cs="Arial"/>
                <w:sz w:val="22"/>
                <w:szCs w:val="22"/>
              </w:rPr>
              <w:t>Schools will pick up the additional costs of this change to the gradings.</w:t>
            </w:r>
          </w:p>
          <w:p w14:paraId="71439AFF" w14:textId="77777777" w:rsidR="00A32B67" w:rsidRPr="00452A13" w:rsidRDefault="00A32B67" w:rsidP="00D62838">
            <w:pPr>
              <w:rPr>
                <w:rFonts w:cs="Arial"/>
                <w:sz w:val="22"/>
                <w:szCs w:val="22"/>
                <w:highlight w:val="yellow"/>
              </w:rPr>
            </w:pPr>
          </w:p>
        </w:tc>
      </w:tr>
      <w:tr w:rsidR="00A32B67" w:rsidRPr="00452A13" w14:paraId="4711DCCA" w14:textId="77777777" w:rsidTr="00D62838">
        <w:tc>
          <w:tcPr>
            <w:tcW w:w="3114" w:type="dxa"/>
          </w:tcPr>
          <w:p w14:paraId="532FD640" w14:textId="77777777" w:rsidR="00A32B67" w:rsidRPr="00452A13" w:rsidRDefault="00A32B67" w:rsidP="00D62838">
            <w:pPr>
              <w:rPr>
                <w:rFonts w:cs="Arial"/>
                <w:sz w:val="22"/>
                <w:szCs w:val="22"/>
              </w:rPr>
            </w:pPr>
          </w:p>
          <w:p w14:paraId="6D3B2845" w14:textId="77777777" w:rsidR="00A32B67" w:rsidRPr="00452A13" w:rsidRDefault="00A32B67" w:rsidP="00D62838">
            <w:pPr>
              <w:rPr>
                <w:rFonts w:cs="Arial"/>
                <w:sz w:val="22"/>
                <w:szCs w:val="22"/>
              </w:rPr>
            </w:pPr>
            <w:r w:rsidRPr="00452A13">
              <w:rPr>
                <w:rFonts w:cs="Arial"/>
                <w:sz w:val="22"/>
                <w:szCs w:val="22"/>
              </w:rPr>
              <w:t>Will the increase to SCP 2 be backdated to 1.4.23?</w:t>
            </w:r>
          </w:p>
          <w:p w14:paraId="1184C2CD" w14:textId="77777777" w:rsidR="00A32B67" w:rsidRPr="00452A13" w:rsidRDefault="00A32B67" w:rsidP="00D62838">
            <w:pPr>
              <w:rPr>
                <w:rFonts w:cs="Arial"/>
                <w:sz w:val="22"/>
                <w:szCs w:val="22"/>
              </w:rPr>
            </w:pPr>
          </w:p>
        </w:tc>
        <w:tc>
          <w:tcPr>
            <w:tcW w:w="5902" w:type="dxa"/>
          </w:tcPr>
          <w:p w14:paraId="2D31DCF5" w14:textId="77777777" w:rsidR="00A32B67" w:rsidRPr="00452A13" w:rsidRDefault="00A32B67" w:rsidP="00D62838">
            <w:pPr>
              <w:rPr>
                <w:rFonts w:cs="Arial"/>
                <w:sz w:val="22"/>
                <w:szCs w:val="22"/>
              </w:rPr>
            </w:pPr>
          </w:p>
          <w:p w14:paraId="6CF67C77" w14:textId="77777777" w:rsidR="00A32B67" w:rsidRPr="00452A13" w:rsidRDefault="00A32B67" w:rsidP="00D62838">
            <w:pPr>
              <w:rPr>
                <w:rFonts w:cs="Arial"/>
                <w:sz w:val="22"/>
                <w:szCs w:val="22"/>
              </w:rPr>
            </w:pPr>
            <w:r w:rsidRPr="00452A13">
              <w:rPr>
                <w:rFonts w:cs="Arial"/>
                <w:sz w:val="22"/>
                <w:szCs w:val="22"/>
              </w:rPr>
              <w:t xml:space="preserve">Yes </w:t>
            </w:r>
          </w:p>
        </w:tc>
      </w:tr>
      <w:tr w:rsidR="00A32B67" w:rsidRPr="00452A13" w14:paraId="020E1BA4" w14:textId="77777777" w:rsidTr="00D62838">
        <w:tc>
          <w:tcPr>
            <w:tcW w:w="3114" w:type="dxa"/>
          </w:tcPr>
          <w:p w14:paraId="134FF918" w14:textId="77777777" w:rsidR="00A32B67" w:rsidRPr="00452A13" w:rsidRDefault="00A32B67" w:rsidP="00D62838">
            <w:pPr>
              <w:rPr>
                <w:rFonts w:cs="Arial"/>
                <w:sz w:val="22"/>
                <w:szCs w:val="22"/>
              </w:rPr>
            </w:pPr>
          </w:p>
          <w:p w14:paraId="7E13BAAC" w14:textId="77777777" w:rsidR="00A32B67" w:rsidRPr="00452A13" w:rsidRDefault="00A32B67" w:rsidP="00D62838">
            <w:pPr>
              <w:rPr>
                <w:rFonts w:cs="Arial"/>
                <w:sz w:val="22"/>
                <w:szCs w:val="22"/>
              </w:rPr>
            </w:pPr>
            <w:r w:rsidRPr="00452A13">
              <w:rPr>
                <w:rFonts w:cs="Arial"/>
                <w:sz w:val="22"/>
                <w:szCs w:val="22"/>
              </w:rPr>
              <w:t xml:space="preserve">Have any other grades changed? </w:t>
            </w:r>
          </w:p>
          <w:p w14:paraId="55ED5816" w14:textId="77777777" w:rsidR="00A32B67" w:rsidRPr="00452A13" w:rsidRDefault="00A32B67" w:rsidP="00D62838">
            <w:pPr>
              <w:rPr>
                <w:rFonts w:cs="Arial"/>
                <w:sz w:val="22"/>
                <w:szCs w:val="22"/>
              </w:rPr>
            </w:pPr>
          </w:p>
        </w:tc>
        <w:tc>
          <w:tcPr>
            <w:tcW w:w="5902" w:type="dxa"/>
          </w:tcPr>
          <w:p w14:paraId="0D592AB9" w14:textId="77777777" w:rsidR="00A32B67" w:rsidRPr="00452A13" w:rsidRDefault="00A32B67" w:rsidP="00D62838">
            <w:pPr>
              <w:rPr>
                <w:rFonts w:cs="Arial"/>
                <w:sz w:val="22"/>
                <w:szCs w:val="22"/>
              </w:rPr>
            </w:pPr>
          </w:p>
          <w:p w14:paraId="30C8AFCF" w14:textId="77777777" w:rsidR="00A32B67" w:rsidRPr="00452A13" w:rsidRDefault="00A32B67" w:rsidP="00D62838">
            <w:pPr>
              <w:rPr>
                <w:rFonts w:cs="Arial"/>
                <w:sz w:val="22"/>
                <w:szCs w:val="22"/>
              </w:rPr>
            </w:pPr>
            <w:r w:rsidRPr="00452A13">
              <w:rPr>
                <w:rFonts w:cs="Arial"/>
                <w:sz w:val="22"/>
                <w:szCs w:val="22"/>
              </w:rPr>
              <w:t xml:space="preserve">No other grades have changed. </w:t>
            </w:r>
          </w:p>
          <w:p w14:paraId="1E0D5F4F" w14:textId="77777777" w:rsidR="00A32B67" w:rsidRPr="00452A13" w:rsidRDefault="00A32B67" w:rsidP="00D62838">
            <w:pPr>
              <w:rPr>
                <w:rFonts w:cs="Arial"/>
                <w:sz w:val="22"/>
                <w:szCs w:val="22"/>
              </w:rPr>
            </w:pPr>
          </w:p>
        </w:tc>
      </w:tr>
      <w:tr w:rsidR="00A32B67" w:rsidRPr="00452A13" w14:paraId="36FF80C7" w14:textId="77777777" w:rsidTr="00D62838">
        <w:tc>
          <w:tcPr>
            <w:tcW w:w="3114" w:type="dxa"/>
          </w:tcPr>
          <w:p w14:paraId="7247100F" w14:textId="77777777" w:rsidR="00A32B67" w:rsidRPr="00452A13" w:rsidRDefault="00A32B67" w:rsidP="00D62838">
            <w:pPr>
              <w:rPr>
                <w:rFonts w:cs="Arial"/>
                <w:sz w:val="22"/>
                <w:szCs w:val="22"/>
              </w:rPr>
            </w:pPr>
          </w:p>
          <w:p w14:paraId="2B3FF31C" w14:textId="77777777" w:rsidR="00A32B67" w:rsidRPr="00452A13" w:rsidRDefault="00A32B67" w:rsidP="00D62838">
            <w:pPr>
              <w:rPr>
                <w:rFonts w:cs="Arial"/>
                <w:sz w:val="22"/>
                <w:szCs w:val="22"/>
              </w:rPr>
            </w:pPr>
            <w:r w:rsidRPr="00452A13">
              <w:rPr>
                <w:rFonts w:cs="Arial"/>
                <w:sz w:val="22"/>
                <w:szCs w:val="22"/>
              </w:rPr>
              <w:t>What if the affected member of staff does not want to be moved to SCP 2?</w:t>
            </w:r>
          </w:p>
          <w:p w14:paraId="4F5E33B1" w14:textId="77777777" w:rsidR="00A32B67" w:rsidRPr="00452A13" w:rsidRDefault="00A32B67" w:rsidP="00D62838">
            <w:pPr>
              <w:rPr>
                <w:rFonts w:cs="Arial"/>
                <w:sz w:val="22"/>
                <w:szCs w:val="22"/>
              </w:rPr>
            </w:pPr>
          </w:p>
        </w:tc>
        <w:tc>
          <w:tcPr>
            <w:tcW w:w="5902" w:type="dxa"/>
          </w:tcPr>
          <w:p w14:paraId="6BF1E1D1" w14:textId="77777777" w:rsidR="00A32B67" w:rsidRPr="00452A13" w:rsidRDefault="00A32B67" w:rsidP="00D62838">
            <w:pPr>
              <w:rPr>
                <w:rFonts w:cs="Arial"/>
                <w:sz w:val="22"/>
                <w:szCs w:val="22"/>
              </w:rPr>
            </w:pPr>
          </w:p>
          <w:p w14:paraId="39710AEF" w14:textId="77777777" w:rsidR="00A32B67" w:rsidRPr="00452A13" w:rsidRDefault="00A32B67" w:rsidP="00D62838">
            <w:pPr>
              <w:rPr>
                <w:rFonts w:cs="Arial"/>
                <w:sz w:val="22"/>
                <w:szCs w:val="22"/>
              </w:rPr>
            </w:pPr>
            <w:r w:rsidRPr="00452A13">
              <w:rPr>
                <w:rFonts w:cs="Arial"/>
                <w:sz w:val="22"/>
                <w:szCs w:val="22"/>
              </w:rPr>
              <w:t xml:space="preserve">As point 1 has been removed by local government services in 1.4.23, SCC have followed the guidance. </w:t>
            </w:r>
          </w:p>
          <w:p w14:paraId="40BD3DFA" w14:textId="77777777" w:rsidR="00A32B67" w:rsidRPr="00452A13" w:rsidRDefault="00A32B67" w:rsidP="00D62838">
            <w:pPr>
              <w:rPr>
                <w:rFonts w:cs="Arial"/>
                <w:sz w:val="22"/>
                <w:szCs w:val="22"/>
              </w:rPr>
            </w:pPr>
            <w:r w:rsidRPr="00452A13">
              <w:rPr>
                <w:rFonts w:cs="Arial"/>
                <w:sz w:val="22"/>
                <w:szCs w:val="22"/>
              </w:rPr>
              <w:t xml:space="preserve"> </w:t>
            </w:r>
          </w:p>
        </w:tc>
      </w:tr>
      <w:tr w:rsidR="00A32B67" w:rsidRPr="00452A13" w14:paraId="699364BA" w14:textId="77777777" w:rsidTr="00D62838">
        <w:tc>
          <w:tcPr>
            <w:tcW w:w="3114" w:type="dxa"/>
          </w:tcPr>
          <w:p w14:paraId="02FC2DC9" w14:textId="77777777" w:rsidR="00A32B67" w:rsidRPr="00452A13" w:rsidRDefault="00A32B67" w:rsidP="00D62838">
            <w:pPr>
              <w:rPr>
                <w:rFonts w:cs="Arial"/>
                <w:sz w:val="22"/>
                <w:szCs w:val="22"/>
              </w:rPr>
            </w:pPr>
          </w:p>
          <w:p w14:paraId="1F75232E" w14:textId="77777777" w:rsidR="00A32B67" w:rsidRPr="00452A13" w:rsidRDefault="00A32B67" w:rsidP="00D62838">
            <w:pPr>
              <w:rPr>
                <w:rFonts w:cs="Arial"/>
                <w:sz w:val="22"/>
                <w:szCs w:val="22"/>
              </w:rPr>
            </w:pPr>
            <w:r w:rsidRPr="00452A13">
              <w:rPr>
                <w:rFonts w:cs="Arial"/>
                <w:sz w:val="22"/>
                <w:szCs w:val="22"/>
              </w:rPr>
              <w:t>If the affected staff are casuals, will they receive back dated pay?</w:t>
            </w:r>
          </w:p>
          <w:p w14:paraId="6BD3672A" w14:textId="77777777" w:rsidR="00A32B67" w:rsidRPr="00452A13" w:rsidRDefault="00A32B67" w:rsidP="00D62838">
            <w:pPr>
              <w:rPr>
                <w:rFonts w:cs="Arial"/>
                <w:sz w:val="22"/>
                <w:szCs w:val="22"/>
              </w:rPr>
            </w:pPr>
          </w:p>
        </w:tc>
        <w:tc>
          <w:tcPr>
            <w:tcW w:w="5902" w:type="dxa"/>
          </w:tcPr>
          <w:p w14:paraId="2829A3BB" w14:textId="77777777" w:rsidR="00A32B67" w:rsidRPr="00452A13" w:rsidRDefault="00A32B67" w:rsidP="00D62838">
            <w:pPr>
              <w:rPr>
                <w:rFonts w:cs="Arial"/>
                <w:sz w:val="22"/>
                <w:szCs w:val="22"/>
              </w:rPr>
            </w:pPr>
          </w:p>
          <w:p w14:paraId="607AFEF2" w14:textId="77777777" w:rsidR="00A32B67" w:rsidRPr="00452A13" w:rsidRDefault="00A32B67" w:rsidP="00D62838">
            <w:pPr>
              <w:rPr>
                <w:rFonts w:cs="Arial"/>
                <w:sz w:val="22"/>
                <w:szCs w:val="22"/>
              </w:rPr>
            </w:pPr>
            <w:r w:rsidRPr="00452A13">
              <w:rPr>
                <w:rFonts w:cs="Arial"/>
                <w:sz w:val="22"/>
                <w:szCs w:val="22"/>
              </w:rPr>
              <w:t xml:space="preserve">This will need to be discussed on a case-by-case basis </w:t>
            </w:r>
          </w:p>
        </w:tc>
      </w:tr>
      <w:tr w:rsidR="00A32B67" w:rsidRPr="00452A13" w14:paraId="1B97581B" w14:textId="77777777" w:rsidTr="00D62838">
        <w:tc>
          <w:tcPr>
            <w:tcW w:w="3114" w:type="dxa"/>
          </w:tcPr>
          <w:p w14:paraId="568C131A" w14:textId="77777777" w:rsidR="00A32B67" w:rsidRPr="00452A13" w:rsidRDefault="00A32B67" w:rsidP="00D62838">
            <w:pPr>
              <w:rPr>
                <w:rFonts w:cs="Arial"/>
                <w:sz w:val="22"/>
                <w:szCs w:val="22"/>
              </w:rPr>
            </w:pPr>
          </w:p>
          <w:p w14:paraId="56C5BCFD" w14:textId="77777777" w:rsidR="00A32B67" w:rsidRPr="00452A13" w:rsidRDefault="00A32B67" w:rsidP="00D62838">
            <w:pPr>
              <w:rPr>
                <w:rFonts w:cs="Arial"/>
                <w:sz w:val="22"/>
                <w:szCs w:val="22"/>
              </w:rPr>
            </w:pPr>
            <w:r w:rsidRPr="00452A13">
              <w:rPr>
                <w:rFonts w:cs="Arial"/>
                <w:sz w:val="22"/>
                <w:szCs w:val="22"/>
              </w:rPr>
              <w:t>Will support staff on SCP1 who left employment be able to claim the backdated increase?</w:t>
            </w:r>
          </w:p>
          <w:p w14:paraId="7AF00901" w14:textId="77777777" w:rsidR="00A32B67" w:rsidRPr="00452A13" w:rsidRDefault="00A32B67" w:rsidP="00D62838">
            <w:pPr>
              <w:rPr>
                <w:rFonts w:cs="Arial"/>
                <w:sz w:val="22"/>
                <w:szCs w:val="22"/>
              </w:rPr>
            </w:pPr>
          </w:p>
        </w:tc>
        <w:tc>
          <w:tcPr>
            <w:tcW w:w="5902" w:type="dxa"/>
          </w:tcPr>
          <w:p w14:paraId="6596560F" w14:textId="77777777" w:rsidR="00A32B67" w:rsidRPr="00452A13" w:rsidRDefault="00A32B67" w:rsidP="00D62838">
            <w:pPr>
              <w:rPr>
                <w:rFonts w:cs="Arial"/>
                <w:sz w:val="22"/>
                <w:szCs w:val="22"/>
              </w:rPr>
            </w:pPr>
          </w:p>
          <w:p w14:paraId="53707077" w14:textId="77777777" w:rsidR="00A32B67" w:rsidRPr="00452A13" w:rsidRDefault="00A32B67" w:rsidP="00D62838">
            <w:pPr>
              <w:rPr>
                <w:rFonts w:cs="Arial"/>
                <w:sz w:val="22"/>
                <w:szCs w:val="22"/>
              </w:rPr>
            </w:pPr>
            <w:r w:rsidRPr="00452A13">
              <w:rPr>
                <w:rFonts w:cs="Arial"/>
                <w:sz w:val="22"/>
                <w:szCs w:val="22"/>
              </w:rPr>
              <w:t xml:space="preserve">This will need to be discussed on a case-by-case </w:t>
            </w:r>
            <w:proofErr w:type="gramStart"/>
            <w:r w:rsidRPr="00452A13">
              <w:rPr>
                <w:rFonts w:cs="Arial"/>
                <w:sz w:val="22"/>
                <w:szCs w:val="22"/>
              </w:rPr>
              <w:t>basis</w:t>
            </w:r>
            <w:proofErr w:type="gramEnd"/>
            <w:r w:rsidRPr="00452A13">
              <w:rPr>
                <w:rFonts w:cs="Arial"/>
                <w:sz w:val="22"/>
                <w:szCs w:val="22"/>
              </w:rPr>
              <w:t xml:space="preserve"> but they will not be contacted. </w:t>
            </w:r>
          </w:p>
        </w:tc>
      </w:tr>
    </w:tbl>
    <w:p w14:paraId="67B0BB07" w14:textId="77777777" w:rsidR="001655F3" w:rsidRPr="00452A13" w:rsidRDefault="001655F3" w:rsidP="00A32B67">
      <w:pPr>
        <w:rPr>
          <w:rFonts w:cs="Arial"/>
          <w:sz w:val="22"/>
          <w:szCs w:val="22"/>
        </w:rPr>
      </w:pPr>
    </w:p>
    <w:sectPr w:rsidR="001655F3" w:rsidRPr="00452A13" w:rsidSect="00390D81">
      <w:footerReference w:type="default" r:id="rId12"/>
      <w:pgSz w:w="11906" w:h="16838" w:code="9"/>
      <w:pgMar w:top="1440" w:right="1134" w:bottom="1080" w:left="1134"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00819" w14:textId="77777777" w:rsidR="001D6A93" w:rsidRDefault="001D6A93">
      <w:r>
        <w:separator/>
      </w:r>
    </w:p>
  </w:endnote>
  <w:endnote w:type="continuationSeparator" w:id="0">
    <w:p w14:paraId="75B3F9F4" w14:textId="77777777" w:rsidR="001D6A93" w:rsidRDefault="001D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80D7F" w14:textId="77777777" w:rsidR="005905AD" w:rsidRDefault="005905AD" w:rsidP="005905AD">
    <w:pPr>
      <w:pStyle w:val="Footer"/>
      <w:jc w:val="center"/>
    </w:pPr>
    <w:r>
      <w:t>Endeavour House, 8 Russell Road, Ipswich, Suffolk, IP1 2BX</w:t>
    </w:r>
  </w:p>
  <w:p w14:paraId="728ABAF8" w14:textId="77777777" w:rsidR="005905AD" w:rsidRDefault="005905AD" w:rsidP="005905AD">
    <w:pPr>
      <w:pStyle w:val="Footer"/>
      <w:jc w:val="center"/>
    </w:pPr>
    <w:r>
      <w:t>www.suffolk.gov.uk</w:t>
    </w:r>
  </w:p>
  <w:p w14:paraId="4F33A345" w14:textId="77777777" w:rsidR="005905AD" w:rsidRDefault="0059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0D3B0" w14:textId="77777777" w:rsidR="001D6A93" w:rsidRDefault="001D6A93">
      <w:r>
        <w:separator/>
      </w:r>
    </w:p>
  </w:footnote>
  <w:footnote w:type="continuationSeparator" w:id="0">
    <w:p w14:paraId="68F5A393" w14:textId="77777777" w:rsidR="001D6A93" w:rsidRDefault="001D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6" w15:restartNumberingAfterBreak="0">
    <w:nsid w:val="2D1B2DD7"/>
    <w:multiLevelType w:val="hybridMultilevel"/>
    <w:tmpl w:val="7AB6FF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F5FB2"/>
    <w:multiLevelType w:val="hybridMultilevel"/>
    <w:tmpl w:val="D236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52010"/>
    <w:multiLevelType w:val="hybridMultilevel"/>
    <w:tmpl w:val="9F6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0" w15:restartNumberingAfterBreak="0">
    <w:nsid w:val="41511287"/>
    <w:multiLevelType w:val="hybridMultilevel"/>
    <w:tmpl w:val="577C9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51371"/>
    <w:multiLevelType w:val="hybridMultilevel"/>
    <w:tmpl w:val="035E99B8"/>
    <w:lvl w:ilvl="0" w:tplc="08090001">
      <w:start w:val="1"/>
      <w:numFmt w:val="bullet"/>
      <w:lvlText w:val=""/>
      <w:lvlJc w:val="left"/>
      <w:pPr>
        <w:ind w:left="720" w:hanging="360"/>
      </w:pPr>
      <w:rPr>
        <w:rFonts w:ascii="Symbol" w:hAnsi="Symbol" w:hint="default"/>
      </w:rPr>
    </w:lvl>
    <w:lvl w:ilvl="1" w:tplc="C480DEE6">
      <w:numFmt w:val="bullet"/>
      <w:lvlText w:val="-"/>
      <w:lvlJc w:val="left"/>
      <w:pPr>
        <w:ind w:left="1440" w:hanging="360"/>
      </w:pPr>
      <w:rPr>
        <w:rFonts w:ascii="Arial" w:eastAsia="Times New Roman" w:hAnsi="Arial" w:cs="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C0E9A"/>
    <w:multiLevelType w:val="hybridMultilevel"/>
    <w:tmpl w:val="C55E3410"/>
    <w:lvl w:ilvl="0" w:tplc="373207B6">
      <w:start w:val="1"/>
      <w:numFmt w:val="bullet"/>
      <w:lvlText w:val="-"/>
      <w:lvlJc w:val="left"/>
      <w:pPr>
        <w:ind w:left="720" w:hanging="360"/>
      </w:pPr>
      <w:rPr>
        <w:rFonts w:ascii="Arial" w:hAnsi="Aria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23AEE"/>
    <w:multiLevelType w:val="hybridMultilevel"/>
    <w:tmpl w:val="1DFA67B2"/>
    <w:lvl w:ilvl="0" w:tplc="373207B6">
      <w:start w:val="1"/>
      <w:numFmt w:val="bullet"/>
      <w:lvlText w:val="-"/>
      <w:lvlJc w:val="left"/>
      <w:pPr>
        <w:ind w:left="720" w:hanging="360"/>
      </w:pPr>
      <w:rPr>
        <w:rFonts w:ascii="Arial" w:hAnsi="Arial" w:hint="default"/>
        <w:sz w:val="16"/>
      </w:rPr>
    </w:lvl>
    <w:lvl w:ilvl="1" w:tplc="373207B6">
      <w:start w:val="1"/>
      <w:numFmt w:val="bullet"/>
      <w:lvlText w:val="-"/>
      <w:lvlJc w:val="left"/>
      <w:pPr>
        <w:ind w:left="644" w:hanging="360"/>
      </w:pPr>
      <w:rPr>
        <w:rFonts w:ascii="Arial" w:hAnsi="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351850">
    <w:abstractNumId w:val="4"/>
  </w:num>
  <w:num w:numId="2" w16cid:durableId="1983805419">
    <w:abstractNumId w:val="2"/>
  </w:num>
  <w:num w:numId="3" w16cid:durableId="1951890414">
    <w:abstractNumId w:val="3"/>
  </w:num>
  <w:num w:numId="4" w16cid:durableId="186917325">
    <w:abstractNumId w:val="3"/>
  </w:num>
  <w:num w:numId="5" w16cid:durableId="740448301">
    <w:abstractNumId w:val="3"/>
  </w:num>
  <w:num w:numId="6" w16cid:durableId="2075079519">
    <w:abstractNumId w:val="1"/>
  </w:num>
  <w:num w:numId="7" w16cid:durableId="528225874">
    <w:abstractNumId w:val="5"/>
  </w:num>
  <w:num w:numId="8" w16cid:durableId="2027629684">
    <w:abstractNumId w:val="9"/>
  </w:num>
  <w:num w:numId="9" w16cid:durableId="46223137">
    <w:abstractNumId w:val="0"/>
  </w:num>
  <w:num w:numId="10" w16cid:durableId="513572580">
    <w:abstractNumId w:val="6"/>
  </w:num>
  <w:num w:numId="11" w16cid:durableId="212160010">
    <w:abstractNumId w:val="10"/>
  </w:num>
  <w:num w:numId="12" w16cid:durableId="2093502108">
    <w:abstractNumId w:val="11"/>
  </w:num>
  <w:num w:numId="13" w16cid:durableId="1637224220">
    <w:abstractNumId w:val="8"/>
  </w:num>
  <w:num w:numId="14" w16cid:durableId="2105226132">
    <w:abstractNumId w:val="7"/>
  </w:num>
  <w:num w:numId="15" w16cid:durableId="171072450">
    <w:abstractNumId w:val="12"/>
  </w:num>
  <w:num w:numId="16" w16cid:durableId="850723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93"/>
    <w:rsid w:val="000406C9"/>
    <w:rsid w:val="00084D6E"/>
    <w:rsid w:val="000A3FE6"/>
    <w:rsid w:val="00101A27"/>
    <w:rsid w:val="00127A2B"/>
    <w:rsid w:val="0013537F"/>
    <w:rsid w:val="00163B0B"/>
    <w:rsid w:val="001655F3"/>
    <w:rsid w:val="0017716C"/>
    <w:rsid w:val="00180FB6"/>
    <w:rsid w:val="001877A0"/>
    <w:rsid w:val="001941D7"/>
    <w:rsid w:val="001A355F"/>
    <w:rsid w:val="001D6A93"/>
    <w:rsid w:val="001F3682"/>
    <w:rsid w:val="00225B24"/>
    <w:rsid w:val="002347F8"/>
    <w:rsid w:val="00241C73"/>
    <w:rsid w:val="00280C4D"/>
    <w:rsid w:val="00284FF0"/>
    <w:rsid w:val="002B0FB0"/>
    <w:rsid w:val="00306476"/>
    <w:rsid w:val="00311C82"/>
    <w:rsid w:val="00315380"/>
    <w:rsid w:val="00321E3B"/>
    <w:rsid w:val="00363CF4"/>
    <w:rsid w:val="003652DD"/>
    <w:rsid w:val="00390D81"/>
    <w:rsid w:val="00393596"/>
    <w:rsid w:val="003B46DA"/>
    <w:rsid w:val="003D01D5"/>
    <w:rsid w:val="003D38B6"/>
    <w:rsid w:val="00451DD6"/>
    <w:rsid w:val="00452A13"/>
    <w:rsid w:val="004569B1"/>
    <w:rsid w:val="004604A4"/>
    <w:rsid w:val="00466C3B"/>
    <w:rsid w:val="004750C5"/>
    <w:rsid w:val="00496B2F"/>
    <w:rsid w:val="004E034F"/>
    <w:rsid w:val="005703C4"/>
    <w:rsid w:val="00571F68"/>
    <w:rsid w:val="00574417"/>
    <w:rsid w:val="00587500"/>
    <w:rsid w:val="005905AD"/>
    <w:rsid w:val="005A5866"/>
    <w:rsid w:val="005B02E9"/>
    <w:rsid w:val="005B54E6"/>
    <w:rsid w:val="005D1D3D"/>
    <w:rsid w:val="005D778B"/>
    <w:rsid w:val="00613F08"/>
    <w:rsid w:val="006610DD"/>
    <w:rsid w:val="00665EA9"/>
    <w:rsid w:val="00670360"/>
    <w:rsid w:val="006A0B14"/>
    <w:rsid w:val="006D0651"/>
    <w:rsid w:val="00714FFD"/>
    <w:rsid w:val="007206F9"/>
    <w:rsid w:val="00737665"/>
    <w:rsid w:val="007632F1"/>
    <w:rsid w:val="00767645"/>
    <w:rsid w:val="0078548F"/>
    <w:rsid w:val="007B6FCC"/>
    <w:rsid w:val="007E12E2"/>
    <w:rsid w:val="007E1DCC"/>
    <w:rsid w:val="0081677E"/>
    <w:rsid w:val="00854776"/>
    <w:rsid w:val="00865B6E"/>
    <w:rsid w:val="008D1B1D"/>
    <w:rsid w:val="008D65D4"/>
    <w:rsid w:val="008D763C"/>
    <w:rsid w:val="008F1ABC"/>
    <w:rsid w:val="00903D59"/>
    <w:rsid w:val="00981905"/>
    <w:rsid w:val="009D2F66"/>
    <w:rsid w:val="009D4A2A"/>
    <w:rsid w:val="009E6187"/>
    <w:rsid w:val="00A32B67"/>
    <w:rsid w:val="00A829E8"/>
    <w:rsid w:val="00AA195F"/>
    <w:rsid w:val="00AF2F95"/>
    <w:rsid w:val="00B04031"/>
    <w:rsid w:val="00B57D8D"/>
    <w:rsid w:val="00B667FF"/>
    <w:rsid w:val="00B71648"/>
    <w:rsid w:val="00BB3E01"/>
    <w:rsid w:val="00BB72C8"/>
    <w:rsid w:val="00BD5F25"/>
    <w:rsid w:val="00BF5164"/>
    <w:rsid w:val="00C073F1"/>
    <w:rsid w:val="00C10338"/>
    <w:rsid w:val="00C13B0C"/>
    <w:rsid w:val="00C90285"/>
    <w:rsid w:val="00CB148D"/>
    <w:rsid w:val="00CB71FD"/>
    <w:rsid w:val="00D04D4F"/>
    <w:rsid w:val="00D5494C"/>
    <w:rsid w:val="00D663BE"/>
    <w:rsid w:val="00D70C60"/>
    <w:rsid w:val="00D745D0"/>
    <w:rsid w:val="00D86047"/>
    <w:rsid w:val="00D90CB8"/>
    <w:rsid w:val="00E0712E"/>
    <w:rsid w:val="00E1321D"/>
    <w:rsid w:val="00E42105"/>
    <w:rsid w:val="00E6634B"/>
    <w:rsid w:val="00E72C00"/>
    <w:rsid w:val="00E94F31"/>
    <w:rsid w:val="00EA0A35"/>
    <w:rsid w:val="00EB7B9D"/>
    <w:rsid w:val="00EC24A7"/>
    <w:rsid w:val="00EF66F0"/>
    <w:rsid w:val="00F35F2F"/>
    <w:rsid w:val="00F42A09"/>
    <w:rsid w:val="00F7639E"/>
    <w:rsid w:val="00F8198F"/>
    <w:rsid w:val="00FE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746EFB4"/>
  <w15:docId w15:val="{4FD2FAA2-F610-4EC5-A29D-1C8DE78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55F"/>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rsid w:val="0099437E"/>
    <w:rPr>
      <w:rFonts w:ascii="Arial" w:hAnsi="Arial"/>
    </w:rPr>
  </w:style>
  <w:style w:type="character" w:styleId="Hyperlink">
    <w:name w:val="Hyperlink"/>
    <w:rsid w:val="003652DD"/>
    <w:rPr>
      <w:color w:val="0000FF"/>
      <w:u w:val="single"/>
    </w:rPr>
  </w:style>
  <w:style w:type="table" w:styleId="TableGrid">
    <w:name w:val="Table Grid"/>
    <w:basedOn w:val="TableNormal"/>
    <w:uiPriority w:val="39"/>
    <w:rsid w:val="0081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5F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D763C"/>
    <w:rPr>
      <w:color w:val="800080" w:themeColor="followedHyperlink"/>
      <w:u w:val="single"/>
    </w:rPr>
  </w:style>
  <w:style w:type="character" w:styleId="UnresolvedMention">
    <w:name w:val="Unresolved Mention"/>
    <w:basedOn w:val="DefaultParagraphFont"/>
    <w:uiPriority w:val="99"/>
    <w:semiHidden/>
    <w:unhideWhenUsed/>
    <w:rsid w:val="001877A0"/>
    <w:rPr>
      <w:color w:val="605E5C"/>
      <w:shd w:val="clear" w:color="auto" w:fill="E1DFDD"/>
    </w:rPr>
  </w:style>
  <w:style w:type="paragraph" w:styleId="NormalWeb">
    <w:name w:val="Normal (Web)"/>
    <w:basedOn w:val="Normal"/>
    <w:uiPriority w:val="99"/>
    <w:unhideWhenUsed/>
    <w:rsid w:val="00452A1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213293">
      <w:bodyDiv w:val="1"/>
      <w:marLeft w:val="0"/>
      <w:marRight w:val="0"/>
      <w:marTop w:val="0"/>
      <w:marBottom w:val="0"/>
      <w:divBdr>
        <w:top w:val="none" w:sz="0" w:space="0" w:color="auto"/>
        <w:left w:val="none" w:sz="0" w:space="0" w:color="auto"/>
        <w:bottom w:val="none" w:sz="0" w:space="0" w:color="auto"/>
        <w:right w:val="none" w:sz="0" w:space="0" w:color="auto"/>
      </w:divBdr>
      <w:divsChild>
        <w:div w:id="1691908306">
          <w:marLeft w:val="0"/>
          <w:marRight w:val="0"/>
          <w:marTop w:val="0"/>
          <w:marBottom w:val="0"/>
          <w:divBdr>
            <w:top w:val="none" w:sz="0" w:space="0" w:color="auto"/>
            <w:left w:val="none" w:sz="0" w:space="0" w:color="auto"/>
            <w:bottom w:val="none" w:sz="0" w:space="0" w:color="auto"/>
            <w:right w:val="none" w:sz="0" w:space="0" w:color="auto"/>
          </w:divBdr>
          <w:divsChild>
            <w:div w:id="290863230">
              <w:marLeft w:val="0"/>
              <w:marRight w:val="0"/>
              <w:marTop w:val="0"/>
              <w:marBottom w:val="0"/>
              <w:divBdr>
                <w:top w:val="none" w:sz="0" w:space="0" w:color="auto"/>
                <w:left w:val="none" w:sz="0" w:space="0" w:color="auto"/>
                <w:bottom w:val="none" w:sz="0" w:space="0" w:color="auto"/>
                <w:right w:val="none" w:sz="0" w:space="0" w:color="auto"/>
              </w:divBdr>
              <w:divsChild>
                <w:div w:id="832067874">
                  <w:marLeft w:val="0"/>
                  <w:marRight w:val="0"/>
                  <w:marTop w:val="0"/>
                  <w:marBottom w:val="0"/>
                  <w:divBdr>
                    <w:top w:val="none" w:sz="0" w:space="0" w:color="auto"/>
                    <w:left w:val="none" w:sz="0" w:space="0" w:color="auto"/>
                    <w:bottom w:val="none" w:sz="0" w:space="0" w:color="auto"/>
                    <w:right w:val="none" w:sz="0" w:space="0" w:color="auto"/>
                  </w:divBdr>
                  <w:divsChild>
                    <w:div w:id="1324043841">
                      <w:marLeft w:val="4725"/>
                      <w:marRight w:val="4725"/>
                      <w:marTop w:val="0"/>
                      <w:marBottom w:val="0"/>
                      <w:divBdr>
                        <w:top w:val="none" w:sz="0" w:space="0" w:color="auto"/>
                        <w:left w:val="none" w:sz="0" w:space="0" w:color="auto"/>
                        <w:bottom w:val="none" w:sz="0" w:space="0" w:color="auto"/>
                        <w:right w:val="none" w:sz="0" w:space="0" w:color="auto"/>
                      </w:divBdr>
                      <w:divsChild>
                        <w:div w:id="2037655957">
                          <w:marLeft w:val="0"/>
                          <w:marRight w:val="0"/>
                          <w:marTop w:val="0"/>
                          <w:marBottom w:val="0"/>
                          <w:divBdr>
                            <w:top w:val="none" w:sz="0" w:space="0" w:color="auto"/>
                            <w:left w:val="none" w:sz="0" w:space="0" w:color="auto"/>
                            <w:bottom w:val="none" w:sz="0" w:space="0" w:color="auto"/>
                            <w:right w:val="none" w:sz="0" w:space="0" w:color="auto"/>
                          </w:divBdr>
                          <w:divsChild>
                            <w:div w:id="1152599502">
                              <w:marLeft w:val="0"/>
                              <w:marRight w:val="0"/>
                              <w:marTop w:val="0"/>
                              <w:marBottom w:val="0"/>
                              <w:divBdr>
                                <w:top w:val="none" w:sz="0" w:space="0" w:color="auto"/>
                                <w:left w:val="none" w:sz="0" w:space="0" w:color="auto"/>
                                <w:bottom w:val="none" w:sz="0" w:space="0" w:color="auto"/>
                                <w:right w:val="none" w:sz="0" w:space="0" w:color="auto"/>
                              </w:divBdr>
                              <w:divsChild>
                                <w:div w:id="443695031">
                                  <w:marLeft w:val="0"/>
                                  <w:marRight w:val="0"/>
                                  <w:marTop w:val="0"/>
                                  <w:marBottom w:val="0"/>
                                  <w:divBdr>
                                    <w:top w:val="none" w:sz="0" w:space="0" w:color="auto"/>
                                    <w:left w:val="none" w:sz="0" w:space="0" w:color="auto"/>
                                    <w:bottom w:val="none" w:sz="0" w:space="0" w:color="auto"/>
                                    <w:right w:val="none" w:sz="0" w:space="0" w:color="auto"/>
                                  </w:divBdr>
                                </w:div>
                                <w:div w:id="17268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7086">
      <w:bodyDiv w:val="1"/>
      <w:marLeft w:val="0"/>
      <w:marRight w:val="0"/>
      <w:marTop w:val="0"/>
      <w:marBottom w:val="0"/>
      <w:divBdr>
        <w:top w:val="none" w:sz="0" w:space="0" w:color="auto"/>
        <w:left w:val="none" w:sz="0" w:space="0" w:color="auto"/>
        <w:bottom w:val="none" w:sz="0" w:space="0" w:color="auto"/>
        <w:right w:val="none" w:sz="0" w:space="0" w:color="auto"/>
      </w:divBdr>
    </w:div>
    <w:div w:id="18862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7AB15B564CC4BB9EFE8F3D6F3C33C" ma:contentTypeVersion="15" ma:contentTypeDescription="Create a new document." ma:contentTypeScope="" ma:versionID="8ef7557fbf698c5b6d4ac448a77f0099">
  <xsd:schema xmlns:xsd="http://www.w3.org/2001/XMLSchema" xmlns:xs="http://www.w3.org/2001/XMLSchema" xmlns:p="http://schemas.microsoft.com/office/2006/metadata/properties" xmlns:ns2="afd6e3e6-37fc-40a2-899b-79867c80fd4e" xmlns:ns3="f0b3e5df-9afe-474f-8c89-99ecf14e61f6" targetNamespace="http://schemas.microsoft.com/office/2006/metadata/properties" ma:root="true" ma:fieldsID="7c136f7ee4067f8509de5a228d743f80" ns2:_="" ns3:_="">
    <xsd:import namespace="afd6e3e6-37fc-40a2-899b-79867c80fd4e"/>
    <xsd:import namespace="f0b3e5df-9afe-474f-8c89-99ecf14e6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6e3e6-37fc-40a2-899b-79867c80f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b3e5df-9afe-474f-8c89-99ecf14e61f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878ab9c-b1a2-4707-b6f6-ba545a752b3f}" ma:internalName="TaxCatchAll" ma:showField="CatchAllData" ma:web="f0b3e5df-9afe-474f-8c89-99ecf14e61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d6e3e6-37fc-40a2-899b-79867c80fd4e">
      <Terms xmlns="http://schemas.microsoft.com/office/infopath/2007/PartnerControls"/>
    </lcf76f155ced4ddcb4097134ff3c332f>
    <TaxCatchAll xmlns="f0b3e5df-9afe-474f-8c89-99ecf14e61f6"/>
  </documentManagement>
</p:properties>
</file>

<file path=customXml/itemProps1.xml><?xml version="1.0" encoding="utf-8"?>
<ds:datastoreItem xmlns:ds="http://schemas.openxmlformats.org/officeDocument/2006/customXml" ds:itemID="{FE1A904B-E8CE-4ACE-BBE4-BEF108657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6e3e6-37fc-40a2-899b-79867c80fd4e"/>
    <ds:schemaRef ds:uri="f0b3e5df-9afe-474f-8c89-99ecf14e6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DD4AA-6B5E-4E30-9F30-C3CA10630230}">
  <ds:schemaRefs>
    <ds:schemaRef ds:uri="http://schemas.microsoft.com/sharepoint/v3/contenttype/forms"/>
  </ds:schemaRefs>
</ds:datastoreItem>
</file>

<file path=customXml/itemProps3.xml><?xml version="1.0" encoding="utf-8"?>
<ds:datastoreItem xmlns:ds="http://schemas.openxmlformats.org/officeDocument/2006/customXml" ds:itemID="{92F0FFB5-87D6-48DF-8053-2B6DEFAA28A6}">
  <ds:schemaRefs>
    <ds:schemaRef ds:uri="afd6e3e6-37fc-40a2-899b-79867c80fd4e"/>
    <ds:schemaRef ds:uri="http://purl.org/dc/dcmitype/"/>
    <ds:schemaRef ds:uri="http://purl.org/dc/terms/"/>
    <ds:schemaRef ds:uri="http://purl.org/dc/elements/1.1/"/>
    <ds:schemaRef ds:uri="http://schemas.microsoft.com/office/2006/documentManagement/types"/>
    <ds:schemaRef ds:uri="f0b3e5df-9afe-474f-8c89-99ecf14e61f6"/>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3805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carolemn</dc:creator>
  <cp:lastModifiedBy>Emma Laflin</cp:lastModifiedBy>
  <cp:revision>3</cp:revision>
  <cp:lastPrinted>2012-03-02T11:03:00Z</cp:lastPrinted>
  <dcterms:created xsi:type="dcterms:W3CDTF">2024-03-11T08:53:00Z</dcterms:created>
  <dcterms:modified xsi:type="dcterms:W3CDTF">2024-03-11T08:53:00Z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0x010100EEA7AB15B564CC4BB9EFE8F3D6F3C33C</vt:lpwstr>
  </property>
</Properties>
</file>