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0E0F" w14:textId="77777777" w:rsidR="00B5444C" w:rsidRPr="00824D97" w:rsidRDefault="00B5444C" w:rsidP="00B5444C">
      <w:pPr>
        <w:pStyle w:val="Heading3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Traded c</w:t>
      </w:r>
      <w:r w:rsidRPr="00824D97">
        <w:rPr>
          <w:rFonts w:ascii="Arial" w:hAnsi="Arial" w:cs="Arial"/>
          <w:b/>
          <w:sz w:val="28"/>
          <w:szCs w:val="28"/>
          <w:u w:val="single"/>
        </w:rPr>
        <w:t>asework package</w:t>
      </w:r>
      <w:r>
        <w:rPr>
          <w:rFonts w:ascii="Arial" w:hAnsi="Arial" w:cs="Arial"/>
          <w:b/>
          <w:sz w:val="28"/>
          <w:szCs w:val="28"/>
          <w:u w:val="single"/>
        </w:rPr>
        <w:t xml:space="preserve"> &amp; Costings</w:t>
      </w:r>
    </w:p>
    <w:p w14:paraId="4B9A4C5C" w14:textId="77777777" w:rsidR="00B5444C" w:rsidRDefault="00B5444C" w:rsidP="00B5444C">
      <w:pPr>
        <w:pStyle w:val="Heading3"/>
        <w:numPr>
          <w:ilvl w:val="0"/>
          <w:numId w:val="0"/>
        </w:numPr>
        <w:rPr>
          <w:rFonts w:ascii="Arial" w:hAnsi="Arial" w:cs="Arial"/>
          <w:b/>
          <w:sz w:val="24"/>
          <w:szCs w:val="24"/>
          <w:u w:val="single"/>
        </w:rPr>
      </w:pPr>
    </w:p>
    <w:p w14:paraId="7970495F" w14:textId="77777777" w:rsidR="00B5444C" w:rsidRPr="003D6D43" w:rsidRDefault="00B5444C" w:rsidP="00B5444C">
      <w:pPr>
        <w:ind w:left="720" w:hanging="720"/>
        <w:rPr>
          <w:rFonts w:ascii="Arial" w:hAnsi="Arial" w:cs="Arial"/>
          <w:u w:val="single"/>
        </w:rPr>
      </w:pPr>
    </w:p>
    <w:p w14:paraId="63BBCD8D" w14:textId="37EAC27F" w:rsidR="00B5444C" w:rsidRPr="00700F82" w:rsidRDefault="00B5444C" w:rsidP="00B5444C">
      <w:pPr>
        <w:pStyle w:val="BodyTextIndent2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Education Welfare Officer</w:t>
      </w:r>
      <w:r w:rsidRPr="00700F8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(EWO)</w:t>
      </w:r>
      <w:r w:rsidRPr="00700F82">
        <w:rPr>
          <w:rFonts w:cs="Arial"/>
          <w:sz w:val="24"/>
          <w:szCs w:val="24"/>
        </w:rPr>
        <w:t xml:space="preserve"> will take referrals </w:t>
      </w:r>
      <w:r w:rsidR="00CE67BB">
        <w:rPr>
          <w:rFonts w:cs="Arial"/>
          <w:sz w:val="24"/>
          <w:szCs w:val="24"/>
        </w:rPr>
        <w:t>for</w:t>
      </w:r>
      <w:r w:rsidRPr="00700F82">
        <w:rPr>
          <w:rFonts w:cs="Arial"/>
          <w:sz w:val="24"/>
          <w:szCs w:val="24"/>
        </w:rPr>
        <w:t xml:space="preserve"> young people whose absences from school are unauthorised and when schools have been unable to resolve the difficulties.</w:t>
      </w:r>
    </w:p>
    <w:p w14:paraId="36C986CB" w14:textId="77777777" w:rsidR="00B5444C" w:rsidRPr="003D6D43" w:rsidRDefault="00B5444C" w:rsidP="00B5444C">
      <w:pPr>
        <w:ind w:left="1440" w:hanging="709"/>
        <w:rPr>
          <w:rFonts w:ascii="Arial" w:hAnsi="Arial" w:cs="Arial"/>
        </w:rPr>
      </w:pPr>
      <w:r w:rsidRPr="003D6D43">
        <w:rPr>
          <w:rFonts w:ascii="Arial" w:hAnsi="Arial" w:cs="Arial"/>
        </w:rPr>
        <w:tab/>
      </w:r>
      <w:r w:rsidRPr="003D6D43">
        <w:rPr>
          <w:rFonts w:ascii="Arial" w:hAnsi="Arial" w:cs="Arial"/>
        </w:rPr>
        <w:tab/>
      </w:r>
    </w:p>
    <w:p w14:paraId="6C44FB27" w14:textId="77777777" w:rsidR="00B5444C" w:rsidRDefault="00B5444C" w:rsidP="00B5444C">
      <w:pPr>
        <w:rPr>
          <w:rFonts w:ascii="Arial" w:hAnsi="Arial" w:cs="Arial"/>
        </w:rPr>
      </w:pPr>
      <w:r w:rsidRPr="003D6D43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may </w:t>
      </w:r>
      <w:r w:rsidRPr="003D6D43">
        <w:rPr>
          <w:rFonts w:ascii="Arial" w:hAnsi="Arial" w:cs="Arial"/>
        </w:rPr>
        <w:t>make home visits, always by appointment, to families of referred cases, undertake time-limited and focused casework aimed at supporting parents/carers in returning their children to school.   This involves carrying out assessments of the circumstances preventing regular school attendance using the</w:t>
      </w:r>
      <w:r>
        <w:rPr>
          <w:rFonts w:ascii="Arial" w:hAnsi="Arial" w:cs="Arial"/>
        </w:rPr>
        <w:t xml:space="preserve"> Signs of Safety Framework</w:t>
      </w:r>
      <w:r w:rsidRPr="003D6D43">
        <w:rPr>
          <w:rFonts w:ascii="Arial" w:hAnsi="Arial" w:cs="Arial"/>
        </w:rPr>
        <w:t xml:space="preserve"> and, with families and other professionals, making, putting into </w:t>
      </w:r>
      <w:proofErr w:type="gramStart"/>
      <w:r w:rsidRPr="003D6D43">
        <w:rPr>
          <w:rFonts w:ascii="Arial" w:hAnsi="Arial" w:cs="Arial"/>
        </w:rPr>
        <w:t>action</w:t>
      </w:r>
      <w:proofErr w:type="gramEnd"/>
      <w:r w:rsidRPr="003D6D43">
        <w:rPr>
          <w:rFonts w:ascii="Arial" w:hAnsi="Arial" w:cs="Arial"/>
        </w:rPr>
        <w:t xml:space="preserve"> and reviewing appropriate plans to improve school attendance. </w:t>
      </w:r>
    </w:p>
    <w:p w14:paraId="2D63E61B" w14:textId="77777777" w:rsidR="00B5444C" w:rsidRDefault="00B5444C" w:rsidP="00B5444C">
      <w:pPr>
        <w:ind w:left="360"/>
        <w:rPr>
          <w:rFonts w:ascii="Arial" w:hAnsi="Arial" w:cs="Arial"/>
        </w:rPr>
      </w:pPr>
    </w:p>
    <w:p w14:paraId="6C7F52AD" w14:textId="77777777" w:rsidR="00B5444C" w:rsidRPr="00F034FE" w:rsidRDefault="00B5444C" w:rsidP="00B5444C">
      <w:pPr>
        <w:rPr>
          <w:rFonts w:ascii="Arial" w:hAnsi="Arial" w:cs="Arial"/>
        </w:rPr>
      </w:pPr>
      <w:r>
        <w:rPr>
          <w:rFonts w:ascii="Arial" w:hAnsi="Arial" w:cs="Arial"/>
        </w:rPr>
        <w:t>Supporting schools i</w:t>
      </w:r>
      <w:r w:rsidRPr="003D6D43">
        <w:rPr>
          <w:rFonts w:ascii="Arial" w:hAnsi="Arial" w:cs="Arial"/>
        </w:rPr>
        <w:t>n individual work with pupils and their families where attendance is an issue</w:t>
      </w:r>
      <w:r>
        <w:rPr>
          <w:rFonts w:ascii="Arial" w:hAnsi="Arial" w:cs="Arial"/>
        </w:rPr>
        <w:t xml:space="preserve">. Where preventative approaches have been unsuccessful </w:t>
      </w:r>
      <w:r w:rsidRPr="003D6D43">
        <w:rPr>
          <w:rFonts w:ascii="Arial" w:hAnsi="Arial" w:cs="Arial"/>
        </w:rPr>
        <w:t xml:space="preserve">the use of </w:t>
      </w:r>
      <w:r>
        <w:rPr>
          <w:rFonts w:ascii="Arial" w:hAnsi="Arial" w:cs="Arial"/>
        </w:rPr>
        <w:t>a f</w:t>
      </w:r>
      <w:r w:rsidRPr="003D6D43">
        <w:rPr>
          <w:rFonts w:ascii="Arial" w:hAnsi="Arial" w:cs="Arial"/>
        </w:rPr>
        <w:t>ast-track process to take legal action to enforce school attendance</w:t>
      </w:r>
      <w:r>
        <w:rPr>
          <w:rFonts w:ascii="Arial" w:hAnsi="Arial" w:cs="Arial"/>
        </w:rPr>
        <w:t xml:space="preserve"> will be considered. All paperwork associated with the fast-track process will be completed by the Education Welfare Officer.</w:t>
      </w:r>
    </w:p>
    <w:p w14:paraId="6B93B1E1" w14:textId="77777777" w:rsidR="00B5444C" w:rsidRPr="003D6D43" w:rsidRDefault="00B5444C" w:rsidP="00B5444C">
      <w:pPr>
        <w:ind w:left="1418" w:hanging="709"/>
        <w:rPr>
          <w:rFonts w:ascii="Arial" w:hAnsi="Arial" w:cs="Arial"/>
        </w:rPr>
      </w:pPr>
    </w:p>
    <w:p w14:paraId="1C1BE878" w14:textId="77777777" w:rsidR="00B5444C" w:rsidRDefault="00B5444C" w:rsidP="00B5444C">
      <w:pPr>
        <w:rPr>
          <w:rFonts w:ascii="Arial" w:hAnsi="Arial" w:cs="Arial"/>
        </w:rPr>
      </w:pPr>
      <w:bookmarkStart w:id="0" w:name="_Hlk105417743"/>
      <w:r w:rsidRPr="003D6D43">
        <w:rPr>
          <w:rFonts w:ascii="Arial" w:hAnsi="Arial" w:cs="Arial"/>
        </w:rPr>
        <w:t>Work with families takes place in partnership with other LA Services and support agencies where appropriate, with the full knowledge of the families concerned.</w:t>
      </w:r>
    </w:p>
    <w:p w14:paraId="75B21470" w14:textId="77777777" w:rsidR="00B5444C" w:rsidRDefault="00B5444C" w:rsidP="00B5444C">
      <w:pPr>
        <w:rPr>
          <w:rFonts w:ascii="Arial" w:hAnsi="Arial" w:cs="Arial"/>
        </w:rPr>
      </w:pPr>
    </w:p>
    <w:p w14:paraId="4BC70C84" w14:textId="77777777" w:rsidR="00B5444C" w:rsidRPr="000F62B4" w:rsidRDefault="00B5444C" w:rsidP="00B5444C">
      <w:pPr>
        <w:rPr>
          <w:rFonts w:ascii="Arial" w:hAnsi="Arial" w:cs="Arial"/>
          <w:b/>
          <w:bCs/>
          <w:u w:val="single"/>
        </w:rPr>
      </w:pPr>
      <w:r w:rsidRPr="000F62B4">
        <w:rPr>
          <w:rFonts w:ascii="Arial" w:hAnsi="Arial" w:cs="Arial"/>
          <w:b/>
          <w:bCs/>
          <w:u w:val="single"/>
        </w:rPr>
        <w:t>Conditions</w:t>
      </w:r>
    </w:p>
    <w:p w14:paraId="2E37F94C" w14:textId="77777777" w:rsidR="00B5444C" w:rsidRDefault="00B5444C" w:rsidP="00B5444C">
      <w:pPr>
        <w:rPr>
          <w:rFonts w:ascii="Arial" w:hAnsi="Arial" w:cs="Arial"/>
        </w:rPr>
      </w:pPr>
    </w:p>
    <w:p w14:paraId="3463AE2E" w14:textId="77777777" w:rsidR="00B5444C" w:rsidRPr="003D6D43" w:rsidRDefault="00B5444C" w:rsidP="00B5444C">
      <w:pPr>
        <w:rPr>
          <w:rFonts w:ascii="Arial" w:hAnsi="Arial" w:cs="Arial"/>
        </w:rPr>
      </w:pPr>
    </w:p>
    <w:bookmarkEnd w:id="0"/>
    <w:p w14:paraId="6F1DDED1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Education Welfare Officer available to Schools located in Suffolk.</w:t>
      </w:r>
    </w:p>
    <w:p w14:paraId="67F9FC66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 xml:space="preserve">An Education Welfare Officer </w:t>
      </w:r>
      <w:r w:rsidRPr="006664D3">
        <w:rPr>
          <w:rFonts w:eastAsia="Helvetica" w:cs="Arial"/>
        </w:rPr>
        <w:t xml:space="preserve">will be allocated to </w:t>
      </w:r>
      <w:r>
        <w:rPr>
          <w:rFonts w:eastAsia="Helvetica" w:cs="Arial"/>
        </w:rPr>
        <w:t>each school named above from the School Attendance Team</w:t>
      </w:r>
      <w:r w:rsidRPr="006664D3">
        <w:rPr>
          <w:rFonts w:eastAsia="Helvetica" w:cs="Arial"/>
        </w:rPr>
        <w:t>.</w:t>
      </w:r>
    </w:p>
    <w:p w14:paraId="7C54B449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Consultations will take place every half term as a minimum between school and named Education Welfare Officer.</w:t>
      </w:r>
    </w:p>
    <w:p w14:paraId="58954F8D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Casework to a maximum number of</w:t>
      </w:r>
      <w:r>
        <w:rPr>
          <w:rFonts w:eastAsia="Helvetica" w:cs="Arial"/>
          <w:color w:val="FF0000"/>
        </w:rPr>
        <w:t xml:space="preserve"> </w:t>
      </w:r>
      <w:r w:rsidRPr="006C53B5">
        <w:rPr>
          <w:rFonts w:eastAsia="Helvetica" w:cs="Arial"/>
        </w:rPr>
        <w:t>purchased</w:t>
      </w:r>
      <w:r>
        <w:rPr>
          <w:rFonts w:eastAsia="Helvetica" w:cs="Arial"/>
          <w:color w:val="FF0000"/>
        </w:rPr>
        <w:t xml:space="preserve"> </w:t>
      </w:r>
      <w:r>
        <w:rPr>
          <w:rFonts w:eastAsia="Helvetica" w:cs="Arial"/>
        </w:rPr>
        <w:t xml:space="preserve">referrals. </w:t>
      </w:r>
    </w:p>
    <w:p w14:paraId="7319B7F3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Referrals</w:t>
      </w:r>
      <w:r w:rsidRPr="006664D3">
        <w:rPr>
          <w:rFonts w:eastAsia="Helvetica" w:cs="Arial"/>
        </w:rPr>
        <w:t xml:space="preserve"> to the </w:t>
      </w:r>
      <w:r>
        <w:rPr>
          <w:rFonts w:eastAsia="Helvetica" w:cs="Arial"/>
        </w:rPr>
        <w:t>School</w:t>
      </w:r>
      <w:r w:rsidRPr="006664D3">
        <w:rPr>
          <w:rFonts w:eastAsia="Helvetica" w:cs="Arial"/>
        </w:rPr>
        <w:t xml:space="preserve"> Attendance Service will be by using </w:t>
      </w:r>
      <w:r>
        <w:rPr>
          <w:rFonts w:eastAsia="Helvetica" w:cs="Arial"/>
        </w:rPr>
        <w:t>the referral form below. Work will not begin with a family until the referral form and supporting evidence is received by School Attendance Team</w:t>
      </w:r>
    </w:p>
    <w:p w14:paraId="3CB2DC6A" w14:textId="77777777" w:rsidR="00B5444C" w:rsidRPr="006664D3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Referrals forms must be in the possession of the Education Welfare Officer a minimum of 7 days prior to any arranged meeting with the family.</w:t>
      </w:r>
    </w:p>
    <w:p w14:paraId="34BEA128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Meetings with parents on the dates agreed between school and Education Welfare Officer.</w:t>
      </w:r>
    </w:p>
    <w:p w14:paraId="10393C6C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All referrals will be recorded on SCC Education Management System</w:t>
      </w:r>
    </w:p>
    <w:p w14:paraId="7ECFBA3F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Any unused cases at the end of the Academic year will not be rolled over</w:t>
      </w:r>
    </w:p>
    <w:p w14:paraId="0228F9E0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Additional Casework can be purchased by the school throughout the year when required.</w:t>
      </w:r>
    </w:p>
    <w:p w14:paraId="7906CAEE" w14:textId="77777777" w:rsidR="00B5444C" w:rsidRDefault="00B5444C" w:rsidP="00B5444C">
      <w:pPr>
        <w:pStyle w:val="ListParagraph"/>
        <w:numPr>
          <w:ilvl w:val="0"/>
          <w:numId w:val="2"/>
        </w:numPr>
        <w:spacing w:line="276" w:lineRule="auto"/>
        <w:rPr>
          <w:rFonts w:eastAsia="Helvetica" w:cs="Arial"/>
        </w:rPr>
      </w:pPr>
      <w:r>
        <w:rPr>
          <w:rFonts w:eastAsia="Helvetica" w:cs="Arial"/>
        </w:rPr>
        <w:t>Any case work carried out above pre agreed purchase levels will be invoiced at the below rates at the end of the academic year.</w:t>
      </w:r>
    </w:p>
    <w:p w14:paraId="14A41463" w14:textId="77777777" w:rsidR="00B5444C" w:rsidRPr="004520C0" w:rsidRDefault="00B5444C" w:rsidP="00B5444C">
      <w:pPr>
        <w:pStyle w:val="ListParagraph"/>
        <w:spacing w:line="276" w:lineRule="auto"/>
        <w:rPr>
          <w:rFonts w:eastAsia="Helvetica" w:cs="Arial"/>
        </w:rPr>
      </w:pPr>
    </w:p>
    <w:p w14:paraId="4FCFF621" w14:textId="3CEC2BE5" w:rsidR="00B5444C" w:rsidRPr="00B5444C" w:rsidRDefault="00B5444C" w:rsidP="00B5444C">
      <w:pPr>
        <w:pStyle w:val="xmsonormal"/>
        <w:jc w:val="center"/>
        <w:rPr>
          <w:rFonts w:ascii="Arial" w:hAnsi="Arial" w:cs="Arial"/>
          <w:sz w:val="28"/>
          <w:szCs w:val="28"/>
          <w:u w:val="single"/>
        </w:rPr>
      </w:pPr>
      <w:bookmarkStart w:id="1" w:name="_Hlk105423021"/>
      <w:r w:rsidRPr="00B5444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US"/>
        </w:rPr>
        <w:lastRenderedPageBreak/>
        <w:t>Case work package costings</w:t>
      </w:r>
    </w:p>
    <w:p w14:paraId="782230F1" w14:textId="77777777" w:rsidR="00B5444C" w:rsidRDefault="00B5444C" w:rsidP="00B5444C">
      <w:pPr>
        <w:pStyle w:val="xmsonormal"/>
        <w:rPr>
          <w:rFonts w:ascii="Arial" w:hAnsi="Arial" w:cs="Arial"/>
          <w:sz w:val="24"/>
          <w:szCs w:val="24"/>
        </w:rPr>
      </w:pPr>
    </w:p>
    <w:p w14:paraId="52BC8F67" w14:textId="77777777" w:rsidR="00B5444C" w:rsidRDefault="00B5444C" w:rsidP="00B5444C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4076"/>
      </w:tblGrid>
      <w:tr w:rsidR="00B5444C" w14:paraId="5B8316B8" w14:textId="77777777" w:rsidTr="00B5444C">
        <w:trPr>
          <w:trHeight w:val="603"/>
          <w:jc w:val="center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3404" w14:textId="77777777" w:rsidR="00B5444C" w:rsidRPr="00C017E7" w:rsidRDefault="00B5444C" w:rsidP="000F6F74">
            <w:pPr>
              <w:pStyle w:val="xmsonormal"/>
              <w:jc w:val="center"/>
              <w:rPr>
                <w:b/>
                <w:bCs/>
                <w:sz w:val="28"/>
                <w:szCs w:val="28"/>
              </w:rPr>
            </w:pPr>
            <w:r w:rsidRPr="00C017E7">
              <w:rPr>
                <w:b/>
                <w:bCs/>
                <w:sz w:val="28"/>
                <w:szCs w:val="28"/>
              </w:rPr>
              <w:t>Maximum number of case work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4FE1" w14:textId="77777777" w:rsidR="00B5444C" w:rsidRPr="00C017E7" w:rsidRDefault="00B5444C" w:rsidP="000F6F74">
            <w:pPr>
              <w:pStyle w:val="xmsonormal"/>
              <w:jc w:val="center"/>
              <w:rPr>
                <w:b/>
                <w:bCs/>
                <w:sz w:val="28"/>
                <w:szCs w:val="28"/>
              </w:rPr>
            </w:pPr>
            <w:r w:rsidRPr="00C017E7">
              <w:rPr>
                <w:b/>
                <w:bCs/>
                <w:sz w:val="28"/>
                <w:szCs w:val="28"/>
              </w:rPr>
              <w:t>Cost (</w:t>
            </w:r>
            <w:r>
              <w:rPr>
                <w:b/>
                <w:bCs/>
                <w:sz w:val="28"/>
                <w:szCs w:val="28"/>
              </w:rPr>
              <w:t>net £</w:t>
            </w:r>
            <w:r w:rsidRPr="00C017E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5444C" w14:paraId="444FEEB2" w14:textId="77777777" w:rsidTr="00B5444C">
        <w:trPr>
          <w:trHeight w:val="301"/>
          <w:jc w:val="center"/>
        </w:trPr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8296" w14:textId="77777777" w:rsidR="00B5444C" w:rsidRDefault="00B5444C" w:rsidP="000F6F74">
            <w:pPr>
              <w:pStyle w:val="xmsonormal"/>
              <w:jc w:val="center"/>
            </w:pPr>
            <w:r>
              <w:t>1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9AFF" w14:textId="77777777" w:rsidR="00B5444C" w:rsidRDefault="00B5444C" w:rsidP="000F6F74">
            <w:pPr>
              <w:pStyle w:val="xmsonormal"/>
              <w:jc w:val="center"/>
            </w:pPr>
            <w:r>
              <w:t>500</w:t>
            </w:r>
          </w:p>
        </w:tc>
      </w:tr>
      <w:tr w:rsidR="00B5444C" w14:paraId="0987E275" w14:textId="77777777" w:rsidTr="00B5444C">
        <w:trPr>
          <w:trHeight w:val="318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F622" w14:textId="77777777" w:rsidR="00B5444C" w:rsidRDefault="00B5444C" w:rsidP="000F6F74">
            <w:pPr>
              <w:pStyle w:val="xmsonormal"/>
              <w:jc w:val="center"/>
            </w:pPr>
            <w: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5D88" w14:textId="77777777" w:rsidR="00B5444C" w:rsidRDefault="00B5444C" w:rsidP="000F6F74">
            <w:pPr>
              <w:pStyle w:val="xmsonormal"/>
              <w:jc w:val="center"/>
            </w:pPr>
            <w:r>
              <w:t>825</w:t>
            </w:r>
          </w:p>
        </w:tc>
      </w:tr>
      <w:tr w:rsidR="00B5444C" w14:paraId="6DA23D61" w14:textId="77777777" w:rsidTr="00B5444C">
        <w:trPr>
          <w:trHeight w:val="30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50E3" w14:textId="77777777" w:rsidR="00B5444C" w:rsidRDefault="00B5444C" w:rsidP="000F6F74">
            <w:pPr>
              <w:pStyle w:val="xmsonormal"/>
              <w:jc w:val="center"/>
            </w:pPr>
            <w: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D8A6" w14:textId="77777777" w:rsidR="00B5444C" w:rsidRDefault="00B5444C" w:rsidP="000F6F74">
            <w:pPr>
              <w:pStyle w:val="xmsonormal"/>
              <w:jc w:val="center"/>
            </w:pPr>
            <w:r>
              <w:t>1290</w:t>
            </w:r>
          </w:p>
        </w:tc>
      </w:tr>
      <w:tr w:rsidR="00B5444C" w14:paraId="30BB1CBD" w14:textId="77777777" w:rsidTr="00B5444C">
        <w:trPr>
          <w:trHeight w:val="30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B3B8" w14:textId="77777777" w:rsidR="00B5444C" w:rsidRDefault="00B5444C" w:rsidP="000F6F74">
            <w:pPr>
              <w:pStyle w:val="xmsonormal"/>
              <w:jc w:val="center"/>
            </w:pPr>
            <w: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4886" w14:textId="77777777" w:rsidR="00B5444C" w:rsidRDefault="00B5444C" w:rsidP="000F6F74">
            <w:pPr>
              <w:pStyle w:val="xmsonormal"/>
              <w:jc w:val="center"/>
            </w:pPr>
            <w:r>
              <w:t>1855</w:t>
            </w:r>
          </w:p>
        </w:tc>
      </w:tr>
      <w:tr w:rsidR="00B5444C" w14:paraId="50C99507" w14:textId="77777777" w:rsidTr="00B5444C">
        <w:trPr>
          <w:trHeight w:val="30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5342" w14:textId="77777777" w:rsidR="00B5444C" w:rsidRDefault="00B5444C" w:rsidP="000F6F74">
            <w:pPr>
              <w:pStyle w:val="xmsonormal"/>
              <w:jc w:val="center"/>
            </w:pPr>
            <w:r>
              <w:t>12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C139" w14:textId="77777777" w:rsidR="00B5444C" w:rsidRDefault="00B5444C" w:rsidP="000F6F74">
            <w:pPr>
              <w:pStyle w:val="xmsonormal"/>
              <w:jc w:val="center"/>
            </w:pPr>
            <w:r>
              <w:t>2730</w:t>
            </w:r>
          </w:p>
        </w:tc>
      </w:tr>
      <w:tr w:rsidR="00B5444C" w14:paraId="0737980F" w14:textId="77777777" w:rsidTr="00B5444C">
        <w:trPr>
          <w:trHeight w:val="318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07E8" w14:textId="77777777" w:rsidR="00B5444C" w:rsidRDefault="00B5444C" w:rsidP="000F6F74">
            <w:pPr>
              <w:pStyle w:val="xmsonormal"/>
              <w:jc w:val="center"/>
            </w:pPr>
            <w:r>
              <w:t>18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2B5E" w14:textId="77777777" w:rsidR="00B5444C" w:rsidRDefault="00B5444C" w:rsidP="000F6F74">
            <w:pPr>
              <w:pStyle w:val="xmsonormal"/>
              <w:jc w:val="center"/>
            </w:pPr>
            <w:r>
              <w:t>4090</w:t>
            </w:r>
          </w:p>
        </w:tc>
      </w:tr>
      <w:tr w:rsidR="00B5444C" w14:paraId="2791973A" w14:textId="77777777" w:rsidTr="00B5444C">
        <w:trPr>
          <w:trHeight w:val="30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21EE" w14:textId="77777777" w:rsidR="00B5444C" w:rsidRDefault="00B5444C" w:rsidP="000F6F74">
            <w:pPr>
              <w:pStyle w:val="xmsonormal"/>
              <w:jc w:val="center"/>
            </w:pPr>
            <w:r>
              <w:t>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A74A" w14:textId="77777777" w:rsidR="00B5444C" w:rsidRDefault="00B5444C" w:rsidP="000F6F74">
            <w:pPr>
              <w:pStyle w:val="xmsonormal"/>
              <w:jc w:val="center"/>
            </w:pPr>
            <w:r>
              <w:t>5670</w:t>
            </w:r>
          </w:p>
        </w:tc>
      </w:tr>
      <w:tr w:rsidR="00B5444C" w14:paraId="1D46020D" w14:textId="77777777" w:rsidTr="00B5444C">
        <w:trPr>
          <w:trHeight w:val="30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61A4" w14:textId="77777777" w:rsidR="00B5444C" w:rsidRDefault="00B5444C" w:rsidP="000F6F74">
            <w:pPr>
              <w:pStyle w:val="xmsonormal"/>
              <w:jc w:val="center"/>
            </w:pPr>
            <w:r>
              <w:t>50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94B0" w14:textId="77777777" w:rsidR="00B5444C" w:rsidRDefault="00B5444C" w:rsidP="000F6F74">
            <w:pPr>
              <w:pStyle w:val="xmsonormal"/>
              <w:jc w:val="center"/>
            </w:pPr>
            <w:r>
              <w:t>10820</w:t>
            </w:r>
          </w:p>
        </w:tc>
      </w:tr>
      <w:tr w:rsidR="00B5444C" w14:paraId="51D1840B" w14:textId="77777777" w:rsidTr="00B5444C">
        <w:trPr>
          <w:trHeight w:val="318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6598" w14:textId="77777777" w:rsidR="00B5444C" w:rsidRDefault="00B5444C" w:rsidP="000F6F74">
            <w:pPr>
              <w:pStyle w:val="xmsonormal"/>
              <w:jc w:val="center"/>
            </w:pPr>
            <w:r>
              <w:t>100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4CE3" w14:textId="77777777" w:rsidR="00B5444C" w:rsidRDefault="00B5444C" w:rsidP="000F6F74">
            <w:pPr>
              <w:pStyle w:val="xmsonormal"/>
              <w:jc w:val="center"/>
            </w:pPr>
            <w:r>
              <w:t>20600</w:t>
            </w:r>
          </w:p>
        </w:tc>
      </w:tr>
    </w:tbl>
    <w:p w14:paraId="6DC38331" w14:textId="77777777" w:rsidR="00B5444C" w:rsidRDefault="00B5444C" w:rsidP="00B5444C">
      <w:pPr>
        <w:rPr>
          <w:rFonts w:ascii="Arial" w:eastAsiaTheme="minorHAnsi" w:hAnsi="Arial" w:cs="Arial"/>
          <w:lang w:eastAsia="en-US"/>
        </w:rPr>
      </w:pPr>
    </w:p>
    <w:p w14:paraId="008CEFE8" w14:textId="77777777" w:rsidR="00B5444C" w:rsidRDefault="00B5444C" w:rsidP="00B5444C">
      <w:pPr>
        <w:pStyle w:val="CoversheetTitle2"/>
        <w:spacing w:before="0" w:after="0"/>
        <w:rPr>
          <w:rFonts w:eastAsia="Helvetica"/>
        </w:rPr>
      </w:pPr>
    </w:p>
    <w:p w14:paraId="39DC498F" w14:textId="77777777" w:rsidR="00B5444C" w:rsidRPr="001443E2" w:rsidRDefault="00415188" w:rsidP="00B5444C">
      <w:pPr>
        <w:pStyle w:val="CoversheetTitle2"/>
        <w:rPr>
          <w:sz w:val="24"/>
        </w:rPr>
      </w:pPr>
      <w:hyperlink r:id="rId5" w:history="1">
        <w:r w:rsidR="00B5444C" w:rsidRPr="00C017E7">
          <w:rPr>
            <w:rStyle w:val="Hyperlink"/>
            <w:sz w:val="24"/>
          </w:rPr>
          <w:t>EAS Referral Form</w:t>
        </w:r>
      </w:hyperlink>
    </w:p>
    <w:bookmarkEnd w:id="1"/>
    <w:p w14:paraId="5303F31C" w14:textId="77777777" w:rsidR="00E35279" w:rsidRDefault="00E35279"/>
    <w:sectPr w:rsidR="00E3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0367"/>
    <w:multiLevelType w:val="hybridMultilevel"/>
    <w:tmpl w:val="8968D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255"/>
    <w:multiLevelType w:val="multilevel"/>
    <w:tmpl w:val="9DA8C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392382803">
    <w:abstractNumId w:val="1"/>
  </w:num>
  <w:num w:numId="2" w16cid:durableId="34776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4C"/>
    <w:rsid w:val="00415188"/>
    <w:rsid w:val="009D159F"/>
    <w:rsid w:val="00B5444C"/>
    <w:rsid w:val="00CE67BB"/>
    <w:rsid w:val="00E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F2FA"/>
  <w15:chartTrackingRefBased/>
  <w15:docId w15:val="{462EEA5C-2971-408F-90D4-B48DE21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4C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link w:val="Heading1Char"/>
    <w:qFormat/>
    <w:rsid w:val="00B5444C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2"/>
      <w:szCs w:val="20"/>
      <w:lang w:eastAsia="en-US"/>
    </w:rPr>
  </w:style>
  <w:style w:type="paragraph" w:styleId="Heading2">
    <w:name w:val="heading 2"/>
    <w:basedOn w:val="Normal"/>
    <w:link w:val="Heading2Char"/>
    <w:qFormat/>
    <w:rsid w:val="00B5444C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B5444C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B5444C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B5444C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44C"/>
    <w:rPr>
      <w:rFonts w:ascii="Times New Roman" w:eastAsia="Times New Roman" w:hAnsi="Times New Roman" w:cs="Times New Roman"/>
      <w:b/>
      <w:smallCaps/>
      <w:kern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B5444C"/>
    <w:rPr>
      <w:rFonts w:ascii="Times New Roman" w:eastAsia="Times New Roman" w:hAnsi="Times New Roman" w:cs="Times New Roman"/>
      <w:color w:val="000000"/>
      <w:kern w:val="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B5444C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B5444C"/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B5444C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5444C"/>
    <w:pPr>
      <w:ind w:left="720"/>
      <w:contextualSpacing/>
    </w:pPr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sid w:val="00B5444C"/>
    <w:rPr>
      <w:color w:val="0000FF"/>
      <w:u w:val="single"/>
    </w:rPr>
  </w:style>
  <w:style w:type="paragraph" w:customStyle="1" w:styleId="CoversheetTitle2">
    <w:name w:val="Coversheet Title2"/>
    <w:basedOn w:val="Normal"/>
    <w:rsid w:val="00B5444C"/>
    <w:pPr>
      <w:spacing w:before="480" w:after="480" w:line="276" w:lineRule="auto"/>
    </w:pPr>
    <w:rPr>
      <w:rFonts w:ascii="Arial" w:eastAsia="Times New Roman" w:hAnsi="Arial" w:cs="Arial"/>
      <w:b/>
      <w:smallCaps/>
      <w:sz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5444C"/>
    <w:pPr>
      <w:ind w:left="1418" w:hanging="709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5444C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xmsonormal">
    <w:name w:val="x_msonormal"/>
    <w:basedOn w:val="Normal"/>
    <w:rsid w:val="00B5444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ffolknet-my.sharepoint.com/personal/victoria_winter_suffolk_gov_uk/Documents/Website%20Documents/EAS%20Referral%20Form.docx?we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Winter</dc:creator>
  <cp:keywords/>
  <dc:description/>
  <cp:lastModifiedBy>Samantha Dean</cp:lastModifiedBy>
  <cp:revision>2</cp:revision>
  <dcterms:created xsi:type="dcterms:W3CDTF">2023-08-18T10:09:00Z</dcterms:created>
  <dcterms:modified xsi:type="dcterms:W3CDTF">2023-08-18T10:09:00Z</dcterms:modified>
</cp:coreProperties>
</file>