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D279" w14:textId="77777777" w:rsidR="00785AAD" w:rsidRDefault="00203220" w:rsidP="00B30530">
      <w:pPr>
        <w:jc w:val="center"/>
        <w:rPr>
          <w:b/>
          <w:sz w:val="44"/>
        </w:rPr>
      </w:pPr>
      <w:r>
        <w:rPr>
          <w:b/>
          <w:noProof/>
          <w:sz w:val="44"/>
          <w:lang w:eastAsia="en-GB"/>
        </w:rPr>
        <w:drawing>
          <wp:inline distT="0" distB="0" distL="0" distR="0" wp14:anchorId="02510581" wp14:editId="6DD90162">
            <wp:extent cx="1628775" cy="504825"/>
            <wp:effectExtent l="0" t="0" r="9525" b="9525"/>
            <wp:docPr id="1" name="Picture 1"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ffolk Count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inline>
        </w:drawing>
      </w:r>
    </w:p>
    <w:p w14:paraId="2444717B" w14:textId="77777777" w:rsidR="00785AAD" w:rsidRDefault="00785AAD" w:rsidP="00B30530">
      <w:pPr>
        <w:jc w:val="center"/>
        <w:rPr>
          <w:b/>
          <w:sz w:val="44"/>
        </w:rPr>
      </w:pPr>
    </w:p>
    <w:p w14:paraId="70C24988" w14:textId="77777777" w:rsidR="00785AAD" w:rsidRDefault="00785AAD" w:rsidP="00B30530">
      <w:pPr>
        <w:jc w:val="center"/>
        <w:rPr>
          <w:b/>
          <w:sz w:val="44"/>
        </w:rPr>
      </w:pPr>
    </w:p>
    <w:p w14:paraId="688BDC0B" w14:textId="77777777" w:rsidR="00785AAD" w:rsidRDefault="00785AAD" w:rsidP="00B30530">
      <w:pPr>
        <w:jc w:val="center"/>
        <w:rPr>
          <w:b/>
          <w:sz w:val="44"/>
        </w:rPr>
      </w:pPr>
    </w:p>
    <w:p w14:paraId="588572BA" w14:textId="77777777" w:rsidR="00785AAD" w:rsidRPr="008F69ED" w:rsidRDefault="00203220" w:rsidP="008F69ED">
      <w:pPr>
        <w:pStyle w:val="Heading1"/>
        <w:jc w:val="center"/>
        <w:rPr>
          <w:rFonts w:ascii="Arial" w:hAnsi="Arial" w:cs="Arial"/>
          <w:color w:val="auto"/>
        </w:rPr>
      </w:pPr>
      <w:r w:rsidRPr="008F69ED">
        <w:rPr>
          <w:rFonts w:ascii="Arial" w:hAnsi="Arial" w:cs="Arial"/>
          <w:color w:val="auto"/>
        </w:rPr>
        <w:t>Suffolk County Council</w:t>
      </w:r>
    </w:p>
    <w:p w14:paraId="128F3685" w14:textId="77777777" w:rsidR="00291666" w:rsidRPr="008F69ED" w:rsidRDefault="00B30530" w:rsidP="008F69ED">
      <w:pPr>
        <w:pStyle w:val="Heading1"/>
        <w:jc w:val="center"/>
        <w:rPr>
          <w:rFonts w:ascii="Arial" w:hAnsi="Arial" w:cs="Arial"/>
          <w:color w:val="auto"/>
        </w:rPr>
      </w:pPr>
      <w:r w:rsidRPr="008F69ED">
        <w:rPr>
          <w:rFonts w:ascii="Arial" w:hAnsi="Arial" w:cs="Arial"/>
          <w:color w:val="auto"/>
        </w:rPr>
        <w:t>SEND Funding Policy and Guidance Document</w:t>
      </w:r>
    </w:p>
    <w:p w14:paraId="1B2B43D7" w14:textId="77777777" w:rsidR="00B30530" w:rsidRPr="00AA083F" w:rsidRDefault="00B30530" w:rsidP="008F69ED">
      <w:pPr>
        <w:pStyle w:val="Heading1"/>
        <w:jc w:val="center"/>
      </w:pPr>
      <w:r w:rsidRPr="008F69ED">
        <w:rPr>
          <w:rFonts w:ascii="Arial" w:hAnsi="Arial" w:cs="Arial"/>
          <w:color w:val="auto"/>
        </w:rPr>
        <w:t>20</w:t>
      </w:r>
      <w:r w:rsidR="005835BA" w:rsidRPr="008F69ED">
        <w:rPr>
          <w:rFonts w:ascii="Arial" w:hAnsi="Arial" w:cs="Arial"/>
          <w:color w:val="auto"/>
        </w:rPr>
        <w:t>20</w:t>
      </w:r>
      <w:r w:rsidRPr="008F69ED">
        <w:rPr>
          <w:rFonts w:ascii="Arial" w:hAnsi="Arial" w:cs="Arial"/>
          <w:color w:val="auto"/>
        </w:rPr>
        <w:t>-</w:t>
      </w:r>
      <w:r w:rsidR="0060126F" w:rsidRPr="008F69ED">
        <w:rPr>
          <w:rFonts w:ascii="Arial" w:hAnsi="Arial" w:cs="Arial"/>
          <w:color w:val="auto"/>
        </w:rPr>
        <w:t>2022</w:t>
      </w:r>
    </w:p>
    <w:p w14:paraId="65D6596F" w14:textId="77777777" w:rsidR="00B30530" w:rsidRDefault="00B30530">
      <w:pPr>
        <w:rPr>
          <w:b/>
          <w:sz w:val="44"/>
        </w:rPr>
      </w:pPr>
      <w:r>
        <w:rPr>
          <w:b/>
          <w:sz w:val="44"/>
        </w:rPr>
        <w:br w:type="page"/>
      </w:r>
    </w:p>
    <w:p w14:paraId="6B31D85B" w14:textId="77777777" w:rsidR="00B30530" w:rsidRPr="008F69ED" w:rsidRDefault="00B30530" w:rsidP="008F69ED">
      <w:pPr>
        <w:pStyle w:val="Heading2"/>
        <w:jc w:val="center"/>
        <w:rPr>
          <w:rFonts w:ascii="Arial" w:hAnsi="Arial" w:cs="Arial"/>
        </w:rPr>
      </w:pPr>
      <w:r w:rsidRPr="008F69ED">
        <w:rPr>
          <w:rFonts w:ascii="Arial" w:hAnsi="Arial" w:cs="Arial"/>
          <w:color w:val="auto"/>
        </w:rPr>
        <w:lastRenderedPageBreak/>
        <w:t>Contents</w:t>
      </w:r>
    </w:p>
    <w:p w14:paraId="7245FD83" w14:textId="77777777" w:rsidR="00B30530" w:rsidRPr="00AA083F" w:rsidRDefault="00B30530" w:rsidP="00B30530">
      <w:pPr>
        <w:pStyle w:val="ListParagraph"/>
        <w:numPr>
          <w:ilvl w:val="0"/>
          <w:numId w:val="1"/>
        </w:numPr>
        <w:rPr>
          <w:rFonts w:ascii="Arial" w:hAnsi="Arial" w:cs="Arial"/>
          <w:sz w:val="24"/>
        </w:rPr>
      </w:pPr>
      <w:r w:rsidRPr="00AA083F">
        <w:rPr>
          <w:rFonts w:ascii="Arial" w:hAnsi="Arial" w:cs="Arial"/>
          <w:sz w:val="24"/>
        </w:rPr>
        <w:t>Introduction</w:t>
      </w:r>
    </w:p>
    <w:p w14:paraId="021B7E82" w14:textId="77777777" w:rsidR="00B30530" w:rsidRPr="00AA083F" w:rsidRDefault="00B30530" w:rsidP="00B30530">
      <w:pPr>
        <w:pStyle w:val="ListParagraph"/>
        <w:rPr>
          <w:rFonts w:ascii="Arial" w:hAnsi="Arial" w:cs="Arial"/>
          <w:sz w:val="24"/>
        </w:rPr>
      </w:pPr>
    </w:p>
    <w:p w14:paraId="73D0F4B3" w14:textId="77777777" w:rsidR="00B30530" w:rsidRPr="00AA083F" w:rsidRDefault="00B30530" w:rsidP="00B30530">
      <w:pPr>
        <w:pStyle w:val="ListParagraph"/>
        <w:numPr>
          <w:ilvl w:val="0"/>
          <w:numId w:val="1"/>
        </w:numPr>
        <w:rPr>
          <w:rFonts w:ascii="Arial" w:hAnsi="Arial" w:cs="Arial"/>
          <w:sz w:val="24"/>
        </w:rPr>
      </w:pPr>
      <w:r w:rsidRPr="00AA083F">
        <w:rPr>
          <w:rFonts w:ascii="Arial" w:hAnsi="Arial" w:cs="Arial"/>
          <w:sz w:val="24"/>
        </w:rPr>
        <w:t>Background</w:t>
      </w:r>
    </w:p>
    <w:p w14:paraId="32486F11" w14:textId="77777777" w:rsidR="00B30530" w:rsidRPr="00AA083F" w:rsidRDefault="00B30530" w:rsidP="00B30530">
      <w:pPr>
        <w:pStyle w:val="ListParagraph"/>
        <w:rPr>
          <w:rFonts w:ascii="Arial" w:hAnsi="Arial" w:cs="Arial"/>
          <w:sz w:val="24"/>
        </w:rPr>
      </w:pPr>
    </w:p>
    <w:p w14:paraId="1FD9A948" w14:textId="77777777" w:rsidR="003C209E" w:rsidRPr="00AA083F" w:rsidRDefault="00427A57" w:rsidP="00B30530">
      <w:pPr>
        <w:pStyle w:val="ListParagraph"/>
        <w:numPr>
          <w:ilvl w:val="0"/>
          <w:numId w:val="1"/>
        </w:numPr>
        <w:rPr>
          <w:rFonts w:ascii="Arial" w:hAnsi="Arial" w:cs="Arial"/>
          <w:sz w:val="24"/>
        </w:rPr>
      </w:pPr>
      <w:r>
        <w:rPr>
          <w:rFonts w:ascii="Arial" w:hAnsi="Arial" w:cs="Arial"/>
          <w:sz w:val="24"/>
        </w:rPr>
        <w:t xml:space="preserve">Funding Special </w:t>
      </w:r>
      <w:r w:rsidR="0029440F">
        <w:rPr>
          <w:rFonts w:ascii="Arial" w:hAnsi="Arial" w:cs="Arial"/>
          <w:sz w:val="24"/>
        </w:rPr>
        <w:t>E</w:t>
      </w:r>
      <w:r>
        <w:rPr>
          <w:rFonts w:ascii="Arial" w:hAnsi="Arial" w:cs="Arial"/>
          <w:sz w:val="24"/>
        </w:rPr>
        <w:t>ducation</w:t>
      </w:r>
      <w:r w:rsidR="0029440F">
        <w:rPr>
          <w:rFonts w:ascii="Arial" w:hAnsi="Arial" w:cs="Arial"/>
          <w:sz w:val="24"/>
        </w:rPr>
        <w:t>al</w:t>
      </w:r>
      <w:r>
        <w:rPr>
          <w:rFonts w:ascii="Arial" w:hAnsi="Arial" w:cs="Arial"/>
          <w:sz w:val="24"/>
        </w:rPr>
        <w:t xml:space="preserve"> Needs Placements</w:t>
      </w:r>
    </w:p>
    <w:p w14:paraId="7C3FFB48" w14:textId="77777777" w:rsidR="003C209E" w:rsidRPr="00AA083F" w:rsidRDefault="003C209E" w:rsidP="003C209E">
      <w:pPr>
        <w:pStyle w:val="ListParagraph"/>
        <w:rPr>
          <w:rFonts w:ascii="Arial" w:hAnsi="Arial" w:cs="Arial"/>
          <w:sz w:val="24"/>
        </w:rPr>
      </w:pPr>
    </w:p>
    <w:p w14:paraId="3D97E7FA" w14:textId="77777777" w:rsidR="00B30530" w:rsidRPr="00AA083F" w:rsidRDefault="00785AAD" w:rsidP="00B30530">
      <w:pPr>
        <w:pStyle w:val="ListParagraph"/>
        <w:numPr>
          <w:ilvl w:val="0"/>
          <w:numId w:val="1"/>
        </w:numPr>
        <w:rPr>
          <w:rFonts w:ascii="Arial" w:hAnsi="Arial" w:cs="Arial"/>
          <w:sz w:val="24"/>
        </w:rPr>
      </w:pPr>
      <w:r w:rsidRPr="00AA083F">
        <w:rPr>
          <w:rFonts w:ascii="Arial" w:hAnsi="Arial" w:cs="Arial"/>
          <w:sz w:val="24"/>
        </w:rPr>
        <w:t>Top</w:t>
      </w:r>
      <w:r w:rsidR="0062073A">
        <w:rPr>
          <w:rFonts w:ascii="Arial" w:hAnsi="Arial" w:cs="Arial"/>
          <w:sz w:val="24"/>
        </w:rPr>
        <w:t>-</w:t>
      </w:r>
      <w:r w:rsidRPr="00AA083F">
        <w:rPr>
          <w:rFonts w:ascii="Arial" w:hAnsi="Arial" w:cs="Arial"/>
          <w:sz w:val="24"/>
        </w:rPr>
        <w:t>Up Funding</w:t>
      </w:r>
      <w:r w:rsidR="00EB2391">
        <w:rPr>
          <w:rFonts w:ascii="Arial" w:hAnsi="Arial" w:cs="Arial"/>
          <w:sz w:val="24"/>
        </w:rPr>
        <w:t xml:space="preserve"> (Element 3)</w:t>
      </w:r>
    </w:p>
    <w:p w14:paraId="07AB2E2D" w14:textId="77777777" w:rsidR="0062073A" w:rsidRDefault="0062073A" w:rsidP="00712E4D">
      <w:pPr>
        <w:pStyle w:val="ListParagraph"/>
        <w:ind w:left="1440"/>
        <w:rPr>
          <w:rFonts w:ascii="Arial" w:hAnsi="Arial" w:cs="Arial"/>
          <w:sz w:val="24"/>
        </w:rPr>
      </w:pPr>
    </w:p>
    <w:p w14:paraId="4D172B58" w14:textId="3173B209" w:rsidR="00465A23" w:rsidRPr="00AA083F" w:rsidRDefault="00EB2391" w:rsidP="00465A23">
      <w:pPr>
        <w:pStyle w:val="ListParagraph"/>
        <w:numPr>
          <w:ilvl w:val="0"/>
          <w:numId w:val="1"/>
        </w:numPr>
        <w:rPr>
          <w:rFonts w:ascii="Arial" w:hAnsi="Arial" w:cs="Arial"/>
          <w:sz w:val="24"/>
        </w:rPr>
      </w:pPr>
      <w:r>
        <w:rPr>
          <w:rFonts w:ascii="Arial" w:hAnsi="Arial" w:cs="Arial"/>
          <w:sz w:val="24"/>
        </w:rPr>
        <w:t xml:space="preserve">Special Schools and </w:t>
      </w:r>
      <w:r w:rsidR="00C61BF8">
        <w:rPr>
          <w:rFonts w:ascii="Arial" w:hAnsi="Arial" w:cs="Arial"/>
          <w:sz w:val="24"/>
        </w:rPr>
        <w:t>PRUs</w:t>
      </w:r>
      <w:r w:rsidR="00465A23" w:rsidRPr="00AA083F">
        <w:rPr>
          <w:rFonts w:ascii="Arial" w:hAnsi="Arial" w:cs="Arial"/>
          <w:sz w:val="24"/>
        </w:rPr>
        <w:br/>
      </w:r>
    </w:p>
    <w:p w14:paraId="40A99440" w14:textId="76033349" w:rsidR="00B30530" w:rsidRPr="00C61BF8" w:rsidRDefault="00465A23" w:rsidP="004C0368">
      <w:pPr>
        <w:pStyle w:val="ListParagraph"/>
        <w:numPr>
          <w:ilvl w:val="0"/>
          <w:numId w:val="1"/>
        </w:numPr>
        <w:rPr>
          <w:rFonts w:ascii="Arial" w:hAnsi="Arial" w:cs="Arial"/>
          <w:bCs/>
          <w:sz w:val="24"/>
        </w:rPr>
      </w:pPr>
      <w:r w:rsidRPr="00C61BF8">
        <w:rPr>
          <w:rFonts w:ascii="Arial" w:hAnsi="Arial" w:cs="Arial"/>
          <w:sz w:val="24"/>
        </w:rPr>
        <w:t>Dual Placement Funding</w:t>
      </w:r>
      <w:r w:rsidRPr="00C61BF8">
        <w:rPr>
          <w:rFonts w:ascii="Arial" w:hAnsi="Arial" w:cs="Arial"/>
          <w:sz w:val="24"/>
        </w:rPr>
        <w:br/>
      </w:r>
    </w:p>
    <w:p w14:paraId="44A9414D" w14:textId="77777777" w:rsidR="00D85797" w:rsidRPr="00D85797" w:rsidRDefault="00D85797" w:rsidP="00785AAD">
      <w:pPr>
        <w:pStyle w:val="ListParagraph"/>
        <w:numPr>
          <w:ilvl w:val="0"/>
          <w:numId w:val="1"/>
        </w:numPr>
        <w:rPr>
          <w:rFonts w:ascii="Arial" w:hAnsi="Arial" w:cs="Arial"/>
          <w:sz w:val="24"/>
        </w:rPr>
      </w:pPr>
      <w:r>
        <w:rPr>
          <w:rFonts w:ascii="Arial" w:hAnsi="Arial" w:cs="Arial"/>
          <w:bCs/>
          <w:sz w:val="24"/>
        </w:rPr>
        <w:t>Cross Border Placements</w:t>
      </w:r>
      <w:r>
        <w:rPr>
          <w:rFonts w:ascii="Arial" w:hAnsi="Arial" w:cs="Arial"/>
          <w:bCs/>
          <w:sz w:val="24"/>
        </w:rPr>
        <w:br/>
      </w:r>
    </w:p>
    <w:p w14:paraId="2C3B0FF3" w14:textId="77777777" w:rsidR="00785AAD" w:rsidRPr="00AA083F" w:rsidRDefault="00B30530" w:rsidP="00785AAD">
      <w:pPr>
        <w:pStyle w:val="ListParagraph"/>
        <w:numPr>
          <w:ilvl w:val="0"/>
          <w:numId w:val="1"/>
        </w:numPr>
        <w:rPr>
          <w:rFonts w:ascii="Arial" w:hAnsi="Arial" w:cs="Arial"/>
          <w:sz w:val="24"/>
        </w:rPr>
      </w:pPr>
      <w:r w:rsidRPr="00EB2391">
        <w:rPr>
          <w:rFonts w:ascii="Arial" w:hAnsi="Arial" w:cs="Arial"/>
          <w:bCs/>
          <w:sz w:val="24"/>
        </w:rPr>
        <w:t>Transitional Protection</w:t>
      </w:r>
      <w:r w:rsidR="00785AAD" w:rsidRPr="00AA083F">
        <w:rPr>
          <w:rFonts w:ascii="Arial" w:hAnsi="Arial" w:cs="Arial"/>
          <w:sz w:val="24"/>
        </w:rPr>
        <w:br/>
      </w:r>
    </w:p>
    <w:p w14:paraId="2B825228" w14:textId="4196A1D9" w:rsidR="00D24BDD" w:rsidRDefault="00DF74BC" w:rsidP="00785AAD">
      <w:pPr>
        <w:pStyle w:val="ListParagraph"/>
        <w:numPr>
          <w:ilvl w:val="0"/>
          <w:numId w:val="1"/>
        </w:numPr>
        <w:rPr>
          <w:rFonts w:ascii="Arial" w:hAnsi="Arial" w:cs="Arial"/>
          <w:sz w:val="24"/>
        </w:rPr>
      </w:pPr>
      <w:r>
        <w:rPr>
          <w:rFonts w:ascii="Arial" w:hAnsi="Arial" w:cs="Arial"/>
          <w:sz w:val="24"/>
        </w:rPr>
        <w:t xml:space="preserve">Payment Schedule </w:t>
      </w:r>
    </w:p>
    <w:p w14:paraId="4ACBC917" w14:textId="77777777" w:rsidR="00D24BDD" w:rsidRDefault="00D24BDD" w:rsidP="00D24BDD">
      <w:pPr>
        <w:pStyle w:val="ListParagraph"/>
        <w:rPr>
          <w:rFonts w:ascii="Arial" w:hAnsi="Arial" w:cs="Arial"/>
          <w:sz w:val="24"/>
        </w:rPr>
      </w:pPr>
    </w:p>
    <w:p w14:paraId="70DFA31C" w14:textId="004B15EC" w:rsidR="00DF74BC" w:rsidRDefault="003F7EF3" w:rsidP="00785AAD">
      <w:pPr>
        <w:pStyle w:val="ListParagraph"/>
        <w:numPr>
          <w:ilvl w:val="0"/>
          <w:numId w:val="1"/>
        </w:numPr>
        <w:rPr>
          <w:rFonts w:ascii="Arial" w:hAnsi="Arial" w:cs="Arial"/>
          <w:sz w:val="24"/>
        </w:rPr>
      </w:pPr>
      <w:r>
        <w:rPr>
          <w:rFonts w:ascii="Arial" w:hAnsi="Arial" w:cs="Arial"/>
          <w:sz w:val="24"/>
        </w:rPr>
        <w:t xml:space="preserve"> </w:t>
      </w:r>
      <w:r w:rsidR="00D24BDD">
        <w:rPr>
          <w:rFonts w:ascii="Arial" w:hAnsi="Arial" w:cs="Arial"/>
          <w:sz w:val="24"/>
        </w:rPr>
        <w:t>Document Review</w:t>
      </w:r>
      <w:r w:rsidR="00DF74BC">
        <w:rPr>
          <w:rFonts w:ascii="Arial" w:hAnsi="Arial" w:cs="Arial"/>
          <w:sz w:val="24"/>
        </w:rPr>
        <w:br/>
      </w:r>
    </w:p>
    <w:p w14:paraId="4E814E1A" w14:textId="77777777" w:rsidR="00B30530" w:rsidRPr="00AA083F" w:rsidRDefault="00B30530">
      <w:pPr>
        <w:rPr>
          <w:rFonts w:ascii="Arial" w:hAnsi="Arial" w:cs="Arial"/>
          <w:sz w:val="24"/>
        </w:rPr>
      </w:pPr>
      <w:r w:rsidRPr="00AA083F">
        <w:rPr>
          <w:rFonts w:ascii="Arial" w:hAnsi="Arial" w:cs="Arial"/>
          <w:sz w:val="24"/>
        </w:rPr>
        <w:br w:type="page"/>
      </w:r>
    </w:p>
    <w:p w14:paraId="28B7498F" w14:textId="5C5A32A1" w:rsidR="008F69ED" w:rsidRDefault="00B30530" w:rsidP="008F69ED">
      <w:pPr>
        <w:pStyle w:val="Heading2"/>
        <w:numPr>
          <w:ilvl w:val="0"/>
          <w:numId w:val="13"/>
        </w:numPr>
        <w:rPr>
          <w:rFonts w:ascii="Arial" w:hAnsi="Arial" w:cs="Arial"/>
          <w:color w:val="auto"/>
        </w:rPr>
      </w:pPr>
      <w:r w:rsidRPr="008F69ED">
        <w:rPr>
          <w:rFonts w:ascii="Arial" w:hAnsi="Arial" w:cs="Arial"/>
          <w:color w:val="auto"/>
        </w:rPr>
        <w:lastRenderedPageBreak/>
        <w:t>Introduction</w:t>
      </w:r>
    </w:p>
    <w:p w14:paraId="0B552B73" w14:textId="77777777" w:rsidR="008F69ED" w:rsidRPr="008F69ED" w:rsidRDefault="008F69ED" w:rsidP="008F69ED"/>
    <w:p w14:paraId="36C078EB" w14:textId="7F7008A2" w:rsidR="00B30530" w:rsidRPr="00AA083F" w:rsidRDefault="00B30530" w:rsidP="008F69ED">
      <w:pPr>
        <w:spacing w:line="240" w:lineRule="auto"/>
        <w:ind w:left="720"/>
        <w:rPr>
          <w:rFonts w:ascii="Arial" w:hAnsi="Arial" w:cs="Arial"/>
          <w:sz w:val="24"/>
        </w:rPr>
      </w:pPr>
      <w:r w:rsidRPr="00AA083F">
        <w:rPr>
          <w:rFonts w:ascii="Arial" w:hAnsi="Arial" w:cs="Arial"/>
          <w:sz w:val="24"/>
        </w:rPr>
        <w:t xml:space="preserve">This document </w:t>
      </w:r>
      <w:r w:rsidR="00427A57">
        <w:rPr>
          <w:rFonts w:ascii="Arial" w:hAnsi="Arial" w:cs="Arial"/>
          <w:sz w:val="24"/>
        </w:rPr>
        <w:t xml:space="preserve">is the </w:t>
      </w:r>
      <w:r w:rsidR="00E41DB2">
        <w:rPr>
          <w:rFonts w:ascii="Arial" w:hAnsi="Arial" w:cs="Arial"/>
          <w:sz w:val="24"/>
        </w:rPr>
        <w:t xml:space="preserve">Suffolk County Council </w:t>
      </w:r>
      <w:r w:rsidR="000D4379">
        <w:rPr>
          <w:rFonts w:ascii="Arial" w:hAnsi="Arial" w:cs="Arial"/>
          <w:sz w:val="24"/>
        </w:rPr>
        <w:t xml:space="preserve">SEND </w:t>
      </w:r>
      <w:r w:rsidR="00427A57">
        <w:rPr>
          <w:rFonts w:ascii="Arial" w:hAnsi="Arial" w:cs="Arial"/>
          <w:sz w:val="24"/>
        </w:rPr>
        <w:t>Funding Policy</w:t>
      </w:r>
      <w:r w:rsidR="00A7167A">
        <w:rPr>
          <w:rFonts w:ascii="Arial" w:hAnsi="Arial" w:cs="Arial"/>
          <w:sz w:val="24"/>
        </w:rPr>
        <w:t xml:space="preserve"> </w:t>
      </w:r>
      <w:r w:rsidR="000D4379">
        <w:rPr>
          <w:rFonts w:ascii="Arial" w:hAnsi="Arial" w:cs="Arial"/>
          <w:sz w:val="24"/>
        </w:rPr>
        <w:t xml:space="preserve">and Guidance Document </w:t>
      </w:r>
      <w:r w:rsidR="00A7167A">
        <w:rPr>
          <w:rFonts w:ascii="Arial" w:hAnsi="Arial" w:cs="Arial"/>
          <w:sz w:val="24"/>
        </w:rPr>
        <w:t xml:space="preserve">that </w:t>
      </w:r>
      <w:r w:rsidR="00E41DB2">
        <w:rPr>
          <w:rFonts w:ascii="Arial" w:hAnsi="Arial" w:cs="Arial"/>
          <w:sz w:val="24"/>
        </w:rPr>
        <w:t xml:space="preserve">came into </w:t>
      </w:r>
      <w:r w:rsidR="00427A57">
        <w:rPr>
          <w:rFonts w:ascii="Arial" w:hAnsi="Arial" w:cs="Arial"/>
          <w:sz w:val="24"/>
        </w:rPr>
        <w:t>effect from September 20</w:t>
      </w:r>
      <w:r w:rsidR="005835BA">
        <w:rPr>
          <w:rFonts w:ascii="Arial" w:hAnsi="Arial" w:cs="Arial"/>
          <w:sz w:val="24"/>
        </w:rPr>
        <w:t>20</w:t>
      </w:r>
      <w:r w:rsidR="00427A57">
        <w:rPr>
          <w:rFonts w:ascii="Arial" w:hAnsi="Arial" w:cs="Arial"/>
          <w:sz w:val="24"/>
        </w:rPr>
        <w:t xml:space="preserve">.  This policy applies to the following </w:t>
      </w:r>
      <w:proofErr w:type="gramStart"/>
      <w:r w:rsidR="00D85797">
        <w:rPr>
          <w:rFonts w:ascii="Arial" w:hAnsi="Arial" w:cs="Arial"/>
          <w:sz w:val="24"/>
        </w:rPr>
        <w:t>provider</w:t>
      </w:r>
      <w:r w:rsidR="00427A57">
        <w:rPr>
          <w:rFonts w:ascii="Arial" w:hAnsi="Arial" w:cs="Arial"/>
          <w:sz w:val="24"/>
        </w:rPr>
        <w:t>s:-</w:t>
      </w:r>
      <w:proofErr w:type="gramEnd"/>
    </w:p>
    <w:p w14:paraId="10EBAA90" w14:textId="77777777" w:rsidR="00826531" w:rsidRPr="00AA083F" w:rsidRDefault="00826531" w:rsidP="00826531">
      <w:pPr>
        <w:pStyle w:val="ListParagraph"/>
        <w:numPr>
          <w:ilvl w:val="0"/>
          <w:numId w:val="4"/>
        </w:numPr>
        <w:rPr>
          <w:rFonts w:ascii="Arial" w:hAnsi="Arial" w:cs="Arial"/>
          <w:sz w:val="24"/>
        </w:rPr>
      </w:pPr>
      <w:bookmarkStart w:id="0" w:name="_Hlk60750320"/>
      <w:r w:rsidRPr="00AA083F">
        <w:rPr>
          <w:rFonts w:ascii="Arial" w:hAnsi="Arial" w:cs="Arial"/>
          <w:sz w:val="24"/>
        </w:rPr>
        <w:t>Mainstream schools and academies</w:t>
      </w:r>
    </w:p>
    <w:p w14:paraId="3BFB0BF6" w14:textId="77777777" w:rsidR="00826531" w:rsidRPr="00AA083F" w:rsidRDefault="00826531" w:rsidP="00826531">
      <w:pPr>
        <w:pStyle w:val="ListParagraph"/>
        <w:numPr>
          <w:ilvl w:val="0"/>
          <w:numId w:val="4"/>
        </w:numPr>
        <w:rPr>
          <w:rFonts w:ascii="Arial" w:hAnsi="Arial" w:cs="Arial"/>
          <w:sz w:val="24"/>
        </w:rPr>
      </w:pPr>
      <w:r w:rsidRPr="00AA083F">
        <w:rPr>
          <w:rFonts w:ascii="Arial" w:hAnsi="Arial" w:cs="Arial"/>
          <w:sz w:val="24"/>
        </w:rPr>
        <w:t>Further Education and 6</w:t>
      </w:r>
      <w:r w:rsidRPr="00AA083F">
        <w:rPr>
          <w:rFonts w:ascii="Arial" w:hAnsi="Arial" w:cs="Arial"/>
          <w:sz w:val="24"/>
          <w:vertAlign w:val="superscript"/>
        </w:rPr>
        <w:t>th</w:t>
      </w:r>
      <w:r w:rsidRPr="00AA083F">
        <w:rPr>
          <w:rFonts w:ascii="Arial" w:hAnsi="Arial" w:cs="Arial"/>
          <w:sz w:val="24"/>
        </w:rPr>
        <w:t xml:space="preserve"> Form Colleges</w:t>
      </w:r>
    </w:p>
    <w:p w14:paraId="2906B84E" w14:textId="77777777" w:rsidR="00826531" w:rsidRPr="00AA083F" w:rsidRDefault="00826531" w:rsidP="00826531">
      <w:pPr>
        <w:pStyle w:val="ListParagraph"/>
        <w:numPr>
          <w:ilvl w:val="0"/>
          <w:numId w:val="4"/>
        </w:numPr>
        <w:rPr>
          <w:rFonts w:ascii="Arial" w:hAnsi="Arial" w:cs="Arial"/>
          <w:sz w:val="24"/>
        </w:rPr>
      </w:pPr>
      <w:r w:rsidRPr="00AA083F">
        <w:rPr>
          <w:rFonts w:ascii="Arial" w:hAnsi="Arial" w:cs="Arial"/>
          <w:sz w:val="24"/>
        </w:rPr>
        <w:t>Special Schools (including special academies and free schools funded in Suffolk)</w:t>
      </w:r>
    </w:p>
    <w:p w14:paraId="01D95D4F" w14:textId="77777777" w:rsidR="00826531" w:rsidRPr="00AA083F" w:rsidRDefault="00826531" w:rsidP="00826531">
      <w:pPr>
        <w:pStyle w:val="ListParagraph"/>
        <w:numPr>
          <w:ilvl w:val="0"/>
          <w:numId w:val="4"/>
        </w:numPr>
        <w:rPr>
          <w:rFonts w:ascii="Arial" w:hAnsi="Arial" w:cs="Arial"/>
          <w:sz w:val="24"/>
        </w:rPr>
      </w:pPr>
      <w:r w:rsidRPr="00AA083F">
        <w:rPr>
          <w:rFonts w:ascii="Arial" w:hAnsi="Arial" w:cs="Arial"/>
          <w:sz w:val="24"/>
        </w:rPr>
        <w:t>Pupil Referral Units and alternative provision academies</w:t>
      </w:r>
    </w:p>
    <w:p w14:paraId="0ADD526E" w14:textId="77777777" w:rsidR="00826531" w:rsidRDefault="0060126F" w:rsidP="00826531">
      <w:pPr>
        <w:pStyle w:val="ListParagraph"/>
        <w:numPr>
          <w:ilvl w:val="0"/>
          <w:numId w:val="4"/>
        </w:numPr>
        <w:rPr>
          <w:rFonts w:ascii="Arial" w:hAnsi="Arial" w:cs="Arial"/>
          <w:sz w:val="24"/>
        </w:rPr>
      </w:pPr>
      <w:r>
        <w:rPr>
          <w:rFonts w:ascii="Arial" w:hAnsi="Arial" w:cs="Arial"/>
          <w:sz w:val="24"/>
        </w:rPr>
        <w:t xml:space="preserve">Post 16 </w:t>
      </w:r>
      <w:r w:rsidR="00826531" w:rsidRPr="00AA083F">
        <w:rPr>
          <w:rFonts w:ascii="Arial" w:hAnsi="Arial" w:cs="Arial"/>
          <w:sz w:val="24"/>
        </w:rPr>
        <w:t>Private Training Providers</w:t>
      </w:r>
    </w:p>
    <w:bookmarkEnd w:id="0"/>
    <w:p w14:paraId="67AFF850" w14:textId="39246F33" w:rsidR="00427A57" w:rsidRPr="00427A57" w:rsidRDefault="00427A57" w:rsidP="00427A57">
      <w:pPr>
        <w:ind w:left="709" w:firstLine="11"/>
        <w:rPr>
          <w:rFonts w:ascii="Arial" w:hAnsi="Arial" w:cs="Arial"/>
          <w:sz w:val="24"/>
        </w:rPr>
      </w:pPr>
      <w:r w:rsidRPr="00427A57">
        <w:rPr>
          <w:rFonts w:ascii="Arial" w:hAnsi="Arial" w:cs="Arial"/>
          <w:sz w:val="24"/>
        </w:rPr>
        <w:t xml:space="preserve">The new policy is designed to create a fairer, simpler high needs funding policy, that is more easily understood by parents, </w:t>
      </w:r>
      <w:proofErr w:type="gramStart"/>
      <w:r w:rsidRPr="00427A57">
        <w:rPr>
          <w:rFonts w:ascii="Arial" w:hAnsi="Arial" w:cs="Arial"/>
          <w:sz w:val="24"/>
        </w:rPr>
        <w:t>carers</w:t>
      </w:r>
      <w:proofErr w:type="gramEnd"/>
      <w:r w:rsidRPr="00427A57">
        <w:rPr>
          <w:rFonts w:ascii="Arial" w:hAnsi="Arial" w:cs="Arial"/>
          <w:sz w:val="24"/>
        </w:rPr>
        <w:t xml:space="preserve"> and professionals across the system.  It includes the creation of a universal banding system which is inclusive of all children and young people aged 0-25</w:t>
      </w:r>
      <w:r w:rsidR="00A7167A">
        <w:rPr>
          <w:rFonts w:ascii="Arial" w:hAnsi="Arial" w:cs="Arial"/>
          <w:sz w:val="24"/>
        </w:rPr>
        <w:t xml:space="preserve">.  The </w:t>
      </w:r>
      <w:r w:rsidRPr="00427A57">
        <w:rPr>
          <w:rFonts w:ascii="Arial" w:hAnsi="Arial" w:cs="Arial"/>
          <w:sz w:val="24"/>
        </w:rPr>
        <w:t xml:space="preserve">new system makes it simpler for providers to access the funding and administer it.  </w:t>
      </w:r>
    </w:p>
    <w:p w14:paraId="0208FDBE" w14:textId="77CB69AF" w:rsidR="00B30530" w:rsidRDefault="00B30530" w:rsidP="008F69ED">
      <w:pPr>
        <w:pStyle w:val="Heading2"/>
        <w:numPr>
          <w:ilvl w:val="0"/>
          <w:numId w:val="13"/>
        </w:numPr>
        <w:rPr>
          <w:rFonts w:ascii="Arial" w:hAnsi="Arial" w:cs="Arial"/>
          <w:color w:val="auto"/>
        </w:rPr>
      </w:pPr>
      <w:r w:rsidRPr="008F69ED">
        <w:rPr>
          <w:rFonts w:ascii="Arial" w:hAnsi="Arial" w:cs="Arial"/>
          <w:color w:val="auto"/>
        </w:rPr>
        <w:t>Background</w:t>
      </w:r>
    </w:p>
    <w:p w14:paraId="51A259C1" w14:textId="77777777" w:rsidR="008F69ED" w:rsidRPr="008F69ED" w:rsidRDefault="008F69ED" w:rsidP="008F69ED"/>
    <w:p w14:paraId="2DFB02FE" w14:textId="77777777" w:rsidR="00B30530" w:rsidRPr="00AA083F" w:rsidRDefault="0060126F" w:rsidP="00B30530">
      <w:pPr>
        <w:ind w:left="720"/>
        <w:rPr>
          <w:rFonts w:ascii="Arial" w:hAnsi="Arial" w:cs="Arial"/>
          <w:sz w:val="24"/>
        </w:rPr>
      </w:pPr>
      <w:r>
        <w:rPr>
          <w:rFonts w:ascii="Arial" w:hAnsi="Arial" w:cs="Arial"/>
          <w:sz w:val="24"/>
        </w:rPr>
        <w:t>In 2017</w:t>
      </w:r>
      <w:r w:rsidR="00B30530" w:rsidRPr="00AA083F">
        <w:rPr>
          <w:rFonts w:ascii="Arial" w:hAnsi="Arial" w:cs="Arial"/>
          <w:sz w:val="24"/>
        </w:rPr>
        <w:t xml:space="preserve"> a review of high needs funding </w:t>
      </w:r>
      <w:r w:rsidR="00427A57">
        <w:rPr>
          <w:rFonts w:ascii="Arial" w:hAnsi="Arial" w:cs="Arial"/>
          <w:sz w:val="24"/>
        </w:rPr>
        <w:t>took</w:t>
      </w:r>
      <w:r w:rsidR="00B30530" w:rsidRPr="00AA083F">
        <w:rPr>
          <w:rFonts w:ascii="Arial" w:hAnsi="Arial" w:cs="Arial"/>
          <w:sz w:val="24"/>
        </w:rPr>
        <w:t xml:space="preserve"> place across Suffolk.  This review was driven by the following </w:t>
      </w:r>
      <w:proofErr w:type="gramStart"/>
      <w:r w:rsidR="00B30530" w:rsidRPr="00AA083F">
        <w:rPr>
          <w:rFonts w:ascii="Arial" w:hAnsi="Arial" w:cs="Arial"/>
          <w:sz w:val="24"/>
        </w:rPr>
        <w:t>factors:-</w:t>
      </w:r>
      <w:proofErr w:type="gramEnd"/>
    </w:p>
    <w:p w14:paraId="11AEA11F" w14:textId="77777777" w:rsidR="00A64AAB" w:rsidRPr="00AA083F" w:rsidRDefault="00C84523" w:rsidP="00A64AAB">
      <w:pPr>
        <w:pStyle w:val="ListParagraph"/>
        <w:numPr>
          <w:ilvl w:val="0"/>
          <w:numId w:val="3"/>
        </w:numPr>
        <w:autoSpaceDE w:val="0"/>
        <w:autoSpaceDN w:val="0"/>
        <w:adjustRightInd w:val="0"/>
        <w:spacing w:after="0" w:line="240" w:lineRule="auto"/>
        <w:rPr>
          <w:rFonts w:ascii="Arial" w:hAnsi="Arial" w:cs="Arial"/>
          <w:sz w:val="24"/>
          <w:szCs w:val="24"/>
        </w:rPr>
      </w:pPr>
      <w:r w:rsidRPr="00AA083F">
        <w:rPr>
          <w:rFonts w:ascii="Arial" w:hAnsi="Arial" w:cs="Arial"/>
          <w:sz w:val="24"/>
        </w:rPr>
        <w:t>t</w:t>
      </w:r>
      <w:r w:rsidR="00B30530" w:rsidRPr="00AA083F">
        <w:rPr>
          <w:rFonts w:ascii="Arial" w:hAnsi="Arial" w:cs="Arial"/>
          <w:sz w:val="24"/>
        </w:rPr>
        <w:t>he increasing pressure on high needs block funding</w:t>
      </w:r>
    </w:p>
    <w:p w14:paraId="7367DA61" w14:textId="77777777" w:rsidR="00A64AAB" w:rsidRPr="00AA083F" w:rsidRDefault="00A64AAB" w:rsidP="00A64AAB">
      <w:pPr>
        <w:pStyle w:val="ListParagraph"/>
        <w:numPr>
          <w:ilvl w:val="0"/>
          <w:numId w:val="3"/>
        </w:numPr>
        <w:autoSpaceDE w:val="0"/>
        <w:autoSpaceDN w:val="0"/>
        <w:adjustRightInd w:val="0"/>
        <w:spacing w:after="0" w:line="240" w:lineRule="auto"/>
        <w:rPr>
          <w:rFonts w:ascii="Arial" w:hAnsi="Arial" w:cs="Arial"/>
          <w:sz w:val="24"/>
          <w:szCs w:val="24"/>
        </w:rPr>
      </w:pPr>
      <w:r w:rsidRPr="00AA083F">
        <w:rPr>
          <w:rFonts w:ascii="Arial" w:hAnsi="Arial" w:cs="Arial"/>
          <w:sz w:val="24"/>
          <w:szCs w:val="24"/>
        </w:rPr>
        <w:t>the increasing number of children and young people needing to leave Suffolk’s local provision to be supported in the independent non-maintained sector</w:t>
      </w:r>
    </w:p>
    <w:p w14:paraId="7231BD50" w14:textId="77777777" w:rsidR="00A64AAB" w:rsidRPr="00AA083F" w:rsidRDefault="00A64AAB" w:rsidP="00A64AAB">
      <w:pPr>
        <w:pStyle w:val="ListParagraph"/>
        <w:numPr>
          <w:ilvl w:val="0"/>
          <w:numId w:val="3"/>
        </w:numPr>
        <w:autoSpaceDE w:val="0"/>
        <w:autoSpaceDN w:val="0"/>
        <w:adjustRightInd w:val="0"/>
        <w:spacing w:after="0" w:line="240" w:lineRule="auto"/>
        <w:rPr>
          <w:rFonts w:ascii="Arial" w:hAnsi="Arial" w:cs="Arial"/>
          <w:sz w:val="24"/>
          <w:szCs w:val="24"/>
        </w:rPr>
      </w:pPr>
      <w:r w:rsidRPr="00AA083F">
        <w:rPr>
          <w:rFonts w:ascii="Arial" w:hAnsi="Arial" w:cs="Arial"/>
          <w:sz w:val="24"/>
          <w:szCs w:val="24"/>
        </w:rPr>
        <w:t xml:space="preserve">a recognition that funding rates for individual </w:t>
      </w:r>
      <w:r w:rsidR="00D36FCB">
        <w:rPr>
          <w:rFonts w:ascii="Arial" w:hAnsi="Arial" w:cs="Arial"/>
          <w:sz w:val="24"/>
          <w:szCs w:val="24"/>
        </w:rPr>
        <w:t>pupil</w:t>
      </w:r>
      <w:r w:rsidRPr="00AA083F">
        <w:rPr>
          <w:rFonts w:ascii="Arial" w:hAnsi="Arial" w:cs="Arial"/>
          <w:sz w:val="24"/>
          <w:szCs w:val="24"/>
        </w:rPr>
        <w:t xml:space="preserve">s vary significantly depending on where they </w:t>
      </w:r>
      <w:r w:rsidR="00AA6C00">
        <w:rPr>
          <w:rFonts w:ascii="Arial" w:hAnsi="Arial" w:cs="Arial"/>
          <w:sz w:val="24"/>
          <w:szCs w:val="24"/>
        </w:rPr>
        <w:t>are</w:t>
      </w:r>
      <w:r w:rsidRPr="00AA083F">
        <w:rPr>
          <w:rFonts w:ascii="Arial" w:hAnsi="Arial" w:cs="Arial"/>
          <w:sz w:val="24"/>
          <w:szCs w:val="24"/>
        </w:rPr>
        <w:t xml:space="preserve"> educated</w:t>
      </w:r>
    </w:p>
    <w:p w14:paraId="79388C7C" w14:textId="77777777" w:rsidR="00A64AAB" w:rsidRPr="00AA083F" w:rsidRDefault="00A64AAB" w:rsidP="00A64AAB">
      <w:pPr>
        <w:pStyle w:val="ListParagraph"/>
        <w:numPr>
          <w:ilvl w:val="0"/>
          <w:numId w:val="3"/>
        </w:numPr>
        <w:autoSpaceDE w:val="0"/>
        <w:autoSpaceDN w:val="0"/>
        <w:adjustRightInd w:val="0"/>
        <w:spacing w:after="0" w:line="240" w:lineRule="auto"/>
        <w:rPr>
          <w:rFonts w:ascii="Arial" w:hAnsi="Arial" w:cs="Arial"/>
          <w:sz w:val="24"/>
          <w:szCs w:val="24"/>
        </w:rPr>
      </w:pPr>
      <w:r w:rsidRPr="00AA083F">
        <w:rPr>
          <w:rFonts w:ascii="Arial" w:hAnsi="Arial" w:cs="Arial"/>
          <w:sz w:val="24"/>
          <w:szCs w:val="24"/>
        </w:rPr>
        <w:t>a lack of clarity from providers and parents about how the high needs funding system works</w:t>
      </w:r>
    </w:p>
    <w:p w14:paraId="09727CF1" w14:textId="77777777" w:rsidR="00B30530" w:rsidRPr="00AA083F" w:rsidRDefault="00A64AAB" w:rsidP="00A64AAB">
      <w:pPr>
        <w:pStyle w:val="ListParagraph"/>
        <w:numPr>
          <w:ilvl w:val="0"/>
          <w:numId w:val="3"/>
        </w:numPr>
        <w:rPr>
          <w:rFonts w:ascii="Arial" w:hAnsi="Arial" w:cs="Arial"/>
          <w:sz w:val="24"/>
        </w:rPr>
      </w:pPr>
      <w:r w:rsidRPr="00AA083F">
        <w:rPr>
          <w:rFonts w:ascii="Arial" w:hAnsi="Arial" w:cs="Arial"/>
          <w:sz w:val="24"/>
          <w:szCs w:val="24"/>
        </w:rPr>
        <w:t>a perception of bias and lack of transparency and accountability.</w:t>
      </w:r>
      <w:r w:rsidR="00B30530" w:rsidRPr="00AA083F">
        <w:rPr>
          <w:rFonts w:ascii="Arial" w:hAnsi="Arial" w:cs="Arial"/>
          <w:sz w:val="24"/>
        </w:rPr>
        <w:t xml:space="preserve"> </w:t>
      </w:r>
    </w:p>
    <w:p w14:paraId="082FE1D3" w14:textId="6B36977C" w:rsidR="00A64AAB" w:rsidRPr="00AA083F" w:rsidRDefault="00A64AAB" w:rsidP="00427A57">
      <w:pPr>
        <w:ind w:left="720"/>
        <w:rPr>
          <w:rFonts w:ascii="Arial" w:hAnsi="Arial" w:cs="Arial"/>
          <w:sz w:val="24"/>
        </w:rPr>
      </w:pPr>
      <w:r w:rsidRPr="00AA083F">
        <w:rPr>
          <w:rFonts w:ascii="Arial" w:hAnsi="Arial" w:cs="Arial"/>
          <w:sz w:val="24"/>
        </w:rPr>
        <w:t>Suffolk County Council launched a consultation to address these issues and</w:t>
      </w:r>
      <w:r w:rsidR="00427A57">
        <w:rPr>
          <w:rFonts w:ascii="Arial" w:hAnsi="Arial" w:cs="Arial"/>
          <w:sz w:val="24"/>
        </w:rPr>
        <w:t xml:space="preserve"> this policy sets out the arrangements resulting from the consultation and agreement from Schools Forum.</w:t>
      </w:r>
      <w:r w:rsidRPr="00AA083F">
        <w:rPr>
          <w:rFonts w:ascii="Arial" w:hAnsi="Arial" w:cs="Arial"/>
          <w:sz w:val="24"/>
        </w:rPr>
        <w:t xml:space="preserve"> </w:t>
      </w:r>
      <w:r w:rsidR="000D4379">
        <w:rPr>
          <w:rFonts w:ascii="Arial" w:hAnsi="Arial" w:cs="Arial"/>
          <w:sz w:val="24"/>
        </w:rPr>
        <w:t xml:space="preserve">This policy has been introduced successfully since 2019 and is now fully implemented. </w:t>
      </w:r>
    </w:p>
    <w:p w14:paraId="37A311B7" w14:textId="08A483D0" w:rsidR="003C209E" w:rsidRPr="008F69ED" w:rsidRDefault="008F69ED" w:rsidP="008F69ED">
      <w:pPr>
        <w:pStyle w:val="Heading2"/>
        <w:rPr>
          <w:rFonts w:ascii="Arial" w:hAnsi="Arial" w:cs="Arial"/>
          <w:color w:val="auto"/>
        </w:rPr>
      </w:pPr>
      <w:r w:rsidRPr="008F69ED">
        <w:rPr>
          <w:rFonts w:ascii="Arial" w:hAnsi="Arial" w:cs="Arial"/>
          <w:bCs/>
          <w:color w:val="auto"/>
        </w:rPr>
        <w:t>F</w:t>
      </w:r>
      <w:r w:rsidR="00427A57" w:rsidRPr="008F69ED">
        <w:rPr>
          <w:rFonts w:ascii="Arial" w:hAnsi="Arial" w:cs="Arial"/>
          <w:color w:val="auto"/>
        </w:rPr>
        <w:t>unding Special Educational Needs Placements</w:t>
      </w:r>
    </w:p>
    <w:p w14:paraId="05EB6A08" w14:textId="285E5A12" w:rsidR="0029440F" w:rsidRDefault="0029440F" w:rsidP="003C209E">
      <w:pPr>
        <w:spacing w:before="100" w:beforeAutospacing="1" w:after="100" w:afterAutospacing="1" w:line="240" w:lineRule="auto"/>
        <w:ind w:left="720"/>
        <w:rPr>
          <w:rFonts w:ascii="Arial" w:eastAsia="Times New Roman" w:hAnsi="Arial" w:cs="Arial"/>
          <w:sz w:val="24"/>
          <w:szCs w:val="24"/>
          <w:lang w:val="en" w:eastAsia="en-GB"/>
        </w:rPr>
      </w:pPr>
      <w:r>
        <w:rPr>
          <w:rFonts w:ascii="Arial" w:eastAsia="Times New Roman" w:hAnsi="Arial" w:cs="Arial"/>
          <w:sz w:val="24"/>
          <w:szCs w:val="24"/>
          <w:lang w:val="en" w:eastAsia="en-GB"/>
        </w:rPr>
        <w:t>All SEND</w:t>
      </w:r>
      <w:r w:rsidR="004F7FF4">
        <w:rPr>
          <w:rFonts w:ascii="Arial" w:eastAsia="Times New Roman" w:hAnsi="Arial" w:cs="Arial"/>
          <w:sz w:val="24"/>
          <w:szCs w:val="24"/>
          <w:lang w:val="en" w:eastAsia="en-GB"/>
        </w:rPr>
        <w:t xml:space="preserve"> and alternative provision places funded through the high needs </w:t>
      </w:r>
      <w:proofErr w:type="gramStart"/>
      <w:r w:rsidR="004F7FF4">
        <w:rPr>
          <w:rFonts w:ascii="Arial" w:eastAsia="Times New Roman" w:hAnsi="Arial" w:cs="Arial"/>
          <w:sz w:val="24"/>
          <w:szCs w:val="24"/>
          <w:lang w:val="en" w:eastAsia="en-GB"/>
        </w:rPr>
        <w:t xml:space="preserve">block </w:t>
      </w:r>
      <w:r>
        <w:rPr>
          <w:rFonts w:ascii="Arial" w:eastAsia="Times New Roman" w:hAnsi="Arial" w:cs="Arial"/>
          <w:sz w:val="24"/>
          <w:szCs w:val="24"/>
          <w:lang w:val="en" w:eastAsia="en-GB"/>
        </w:rPr>
        <w:t xml:space="preserve"> are</w:t>
      </w:r>
      <w:proofErr w:type="gramEnd"/>
      <w:r>
        <w:rPr>
          <w:rFonts w:ascii="Arial" w:eastAsia="Times New Roman" w:hAnsi="Arial" w:cs="Arial"/>
          <w:sz w:val="24"/>
          <w:szCs w:val="24"/>
          <w:lang w:val="en" w:eastAsia="en-GB"/>
        </w:rPr>
        <w:t xml:space="preserve"> commissioned by the Local Authority (SCC) on an annual basis and in-line with the educational needs of a child or young person.  Funding for these commissioned places is made up of three </w:t>
      </w:r>
      <w:r w:rsidR="005835BA">
        <w:rPr>
          <w:rFonts w:ascii="Arial" w:eastAsia="Times New Roman" w:hAnsi="Arial" w:cs="Arial"/>
          <w:sz w:val="24"/>
          <w:szCs w:val="24"/>
          <w:lang w:val="en" w:eastAsia="en-GB"/>
        </w:rPr>
        <w:t>elements:</w:t>
      </w:r>
      <w:r>
        <w:rPr>
          <w:rFonts w:ascii="Arial" w:eastAsia="Times New Roman" w:hAnsi="Arial" w:cs="Arial"/>
          <w:sz w:val="24"/>
          <w:szCs w:val="24"/>
          <w:lang w:val="en" w:eastAsia="en-GB"/>
        </w:rPr>
        <w:t xml:space="preserve"> Core Funding, </w:t>
      </w:r>
      <w:r w:rsidR="00FD6268">
        <w:rPr>
          <w:rFonts w:ascii="Arial" w:eastAsia="Times New Roman" w:hAnsi="Arial" w:cs="Arial"/>
          <w:sz w:val="24"/>
          <w:szCs w:val="24"/>
          <w:lang w:val="en" w:eastAsia="en-GB"/>
        </w:rPr>
        <w:lastRenderedPageBreak/>
        <w:t xml:space="preserve">Additional </w:t>
      </w:r>
      <w:r>
        <w:rPr>
          <w:rFonts w:ascii="Arial" w:eastAsia="Times New Roman" w:hAnsi="Arial" w:cs="Arial"/>
          <w:sz w:val="24"/>
          <w:szCs w:val="24"/>
          <w:lang w:val="en" w:eastAsia="en-GB"/>
        </w:rPr>
        <w:t>Support Costs up to £6,000 and Top-Up.  These elements ar</w:t>
      </w:r>
      <w:r w:rsidR="00A7167A">
        <w:rPr>
          <w:rFonts w:ascii="Arial" w:eastAsia="Times New Roman" w:hAnsi="Arial" w:cs="Arial"/>
          <w:sz w:val="24"/>
          <w:szCs w:val="24"/>
          <w:lang w:val="en" w:eastAsia="en-GB"/>
        </w:rPr>
        <w:t>e</w:t>
      </w:r>
      <w:r>
        <w:rPr>
          <w:rFonts w:ascii="Arial" w:eastAsia="Times New Roman" w:hAnsi="Arial" w:cs="Arial"/>
          <w:sz w:val="24"/>
          <w:szCs w:val="24"/>
          <w:lang w:val="en" w:eastAsia="en-GB"/>
        </w:rPr>
        <w:t xml:space="preserve"> sometimes referred to as Element 1, 2 and 3.</w:t>
      </w:r>
    </w:p>
    <w:p w14:paraId="334F7280" w14:textId="5237C55D" w:rsidR="0029440F" w:rsidRDefault="0029440F" w:rsidP="0029440F">
      <w:pPr>
        <w:pStyle w:val="ListParagraph"/>
        <w:numPr>
          <w:ilvl w:val="0"/>
          <w:numId w:val="9"/>
        </w:numPr>
        <w:spacing w:before="100" w:beforeAutospacing="1" w:after="100" w:afterAutospacing="1" w:line="240" w:lineRule="auto"/>
        <w:rPr>
          <w:rFonts w:ascii="Arial" w:eastAsia="Times New Roman" w:hAnsi="Arial" w:cs="Arial"/>
          <w:sz w:val="24"/>
          <w:szCs w:val="24"/>
          <w:lang w:val="en" w:eastAsia="en-GB"/>
        </w:rPr>
      </w:pPr>
      <w:r w:rsidRPr="00C13148">
        <w:rPr>
          <w:rFonts w:ascii="Arial" w:eastAsia="Times New Roman" w:hAnsi="Arial" w:cs="Arial"/>
          <w:b/>
          <w:bCs/>
          <w:sz w:val="24"/>
          <w:szCs w:val="24"/>
          <w:lang w:val="en" w:eastAsia="en-GB"/>
        </w:rPr>
        <w:t>Core Funding</w:t>
      </w:r>
      <w:r>
        <w:rPr>
          <w:rFonts w:ascii="Arial" w:eastAsia="Times New Roman" w:hAnsi="Arial" w:cs="Arial"/>
          <w:sz w:val="24"/>
          <w:szCs w:val="24"/>
          <w:lang w:val="en" w:eastAsia="en-GB"/>
        </w:rPr>
        <w:t xml:space="preserve"> (Element 1) is the first £4,000 </w:t>
      </w:r>
      <w:r w:rsidR="00501E27">
        <w:rPr>
          <w:rFonts w:ascii="Arial" w:eastAsia="Times New Roman" w:hAnsi="Arial" w:cs="Arial"/>
          <w:sz w:val="24"/>
          <w:szCs w:val="24"/>
          <w:lang w:val="en" w:eastAsia="en-GB"/>
        </w:rPr>
        <w:t>is to fund</w:t>
      </w:r>
      <w:r>
        <w:rPr>
          <w:rFonts w:ascii="Arial" w:eastAsia="Times New Roman" w:hAnsi="Arial" w:cs="Arial"/>
          <w:sz w:val="24"/>
          <w:szCs w:val="24"/>
          <w:lang w:val="en" w:eastAsia="en-GB"/>
        </w:rPr>
        <w:t xml:space="preserve"> an individual’s education</w:t>
      </w:r>
      <w:r w:rsidR="004F7FF4">
        <w:rPr>
          <w:rFonts w:ascii="Arial" w:eastAsia="Times New Roman" w:hAnsi="Arial" w:cs="Arial"/>
          <w:sz w:val="24"/>
          <w:szCs w:val="24"/>
          <w:lang w:val="en" w:eastAsia="en-GB"/>
        </w:rPr>
        <w:t xml:space="preserve">, or in a mainstream school </w:t>
      </w:r>
      <w:r w:rsidR="00501E27">
        <w:rPr>
          <w:rFonts w:ascii="Arial" w:eastAsia="Times New Roman" w:hAnsi="Arial" w:cs="Arial"/>
          <w:sz w:val="24"/>
          <w:szCs w:val="24"/>
          <w:lang w:val="en" w:eastAsia="en-GB"/>
        </w:rPr>
        <w:t xml:space="preserve">is </w:t>
      </w:r>
      <w:r w:rsidR="004F7FF4">
        <w:rPr>
          <w:rFonts w:ascii="Arial" w:eastAsia="Times New Roman" w:hAnsi="Arial" w:cs="Arial"/>
          <w:sz w:val="24"/>
          <w:szCs w:val="24"/>
          <w:lang w:val="en" w:eastAsia="en-GB"/>
        </w:rPr>
        <w:t xml:space="preserve">the </w:t>
      </w:r>
      <w:r w:rsidR="002000B4">
        <w:rPr>
          <w:rFonts w:ascii="Arial" w:eastAsia="Times New Roman" w:hAnsi="Arial" w:cs="Arial"/>
          <w:sz w:val="24"/>
          <w:szCs w:val="24"/>
          <w:lang w:val="en" w:eastAsia="en-GB"/>
        </w:rPr>
        <w:t>AWPU</w:t>
      </w:r>
      <w:r w:rsidR="004F7FF4">
        <w:rPr>
          <w:rFonts w:ascii="Arial" w:eastAsia="Times New Roman" w:hAnsi="Arial" w:cs="Arial"/>
          <w:sz w:val="24"/>
          <w:szCs w:val="24"/>
          <w:lang w:val="en" w:eastAsia="en-GB"/>
        </w:rPr>
        <w:t>.</w:t>
      </w:r>
    </w:p>
    <w:p w14:paraId="09E857D1" w14:textId="58E084A5" w:rsidR="0029440F" w:rsidRDefault="00FD6268" w:rsidP="0029440F">
      <w:pPr>
        <w:pStyle w:val="ListParagraph"/>
        <w:numPr>
          <w:ilvl w:val="0"/>
          <w:numId w:val="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4"/>
          <w:szCs w:val="24"/>
          <w:lang w:val="en" w:eastAsia="en-GB"/>
        </w:rPr>
        <w:t xml:space="preserve">Additional </w:t>
      </w:r>
      <w:r w:rsidR="0029440F" w:rsidRPr="00C13148">
        <w:rPr>
          <w:rFonts w:ascii="Arial" w:eastAsia="Times New Roman" w:hAnsi="Arial" w:cs="Arial"/>
          <w:b/>
          <w:bCs/>
          <w:sz w:val="24"/>
          <w:szCs w:val="24"/>
          <w:lang w:val="en" w:eastAsia="en-GB"/>
        </w:rPr>
        <w:t>Support Costs</w:t>
      </w:r>
      <w:r w:rsidR="0029440F">
        <w:rPr>
          <w:rFonts w:ascii="Arial" w:eastAsia="Times New Roman" w:hAnsi="Arial" w:cs="Arial"/>
          <w:sz w:val="24"/>
          <w:szCs w:val="24"/>
          <w:lang w:val="en" w:eastAsia="en-GB"/>
        </w:rPr>
        <w:t xml:space="preserve"> (Element 2) is the </w:t>
      </w:r>
      <w:r w:rsidR="00501E27">
        <w:rPr>
          <w:rFonts w:ascii="Arial" w:eastAsia="Times New Roman" w:hAnsi="Arial" w:cs="Arial"/>
          <w:sz w:val="24"/>
          <w:szCs w:val="24"/>
          <w:lang w:val="en" w:eastAsia="en-GB"/>
        </w:rPr>
        <w:t xml:space="preserve">individual’s </w:t>
      </w:r>
      <w:r w:rsidR="0029440F">
        <w:rPr>
          <w:rFonts w:ascii="Arial" w:eastAsia="Times New Roman" w:hAnsi="Arial" w:cs="Arial"/>
          <w:sz w:val="24"/>
          <w:szCs w:val="24"/>
          <w:lang w:val="en" w:eastAsia="en-GB"/>
        </w:rPr>
        <w:t>support costs required above the costs of an individual’s education</w:t>
      </w:r>
      <w:r w:rsidR="00957314">
        <w:rPr>
          <w:rFonts w:ascii="Arial" w:eastAsia="Times New Roman" w:hAnsi="Arial" w:cs="Arial"/>
          <w:sz w:val="24"/>
          <w:szCs w:val="24"/>
          <w:lang w:val="en" w:eastAsia="en-GB"/>
        </w:rPr>
        <w:t>,</w:t>
      </w:r>
      <w:r w:rsidR="0029440F">
        <w:rPr>
          <w:rFonts w:ascii="Arial" w:eastAsia="Times New Roman" w:hAnsi="Arial" w:cs="Arial"/>
          <w:sz w:val="24"/>
          <w:szCs w:val="24"/>
          <w:lang w:val="en" w:eastAsia="en-GB"/>
        </w:rPr>
        <w:t xml:space="preserve"> up to the value of £6,000</w:t>
      </w:r>
    </w:p>
    <w:p w14:paraId="317DB30F" w14:textId="77777777" w:rsidR="0029440F" w:rsidRPr="0029440F" w:rsidRDefault="0029440F" w:rsidP="0029440F">
      <w:pPr>
        <w:pStyle w:val="ListParagraph"/>
        <w:numPr>
          <w:ilvl w:val="0"/>
          <w:numId w:val="9"/>
        </w:numPr>
        <w:spacing w:before="100" w:beforeAutospacing="1" w:after="100" w:afterAutospacing="1" w:line="240" w:lineRule="auto"/>
        <w:rPr>
          <w:rFonts w:ascii="Arial" w:eastAsia="Times New Roman" w:hAnsi="Arial" w:cs="Arial"/>
          <w:sz w:val="24"/>
          <w:szCs w:val="24"/>
          <w:lang w:val="en" w:eastAsia="en-GB"/>
        </w:rPr>
      </w:pPr>
      <w:r w:rsidRPr="00C13148">
        <w:rPr>
          <w:rFonts w:ascii="Arial" w:eastAsia="Times New Roman" w:hAnsi="Arial" w:cs="Arial"/>
          <w:b/>
          <w:bCs/>
          <w:sz w:val="24"/>
          <w:szCs w:val="24"/>
          <w:lang w:val="en" w:eastAsia="en-GB"/>
        </w:rPr>
        <w:t>Top Up</w:t>
      </w:r>
      <w:r>
        <w:rPr>
          <w:rFonts w:ascii="Arial" w:eastAsia="Times New Roman" w:hAnsi="Arial" w:cs="Arial"/>
          <w:sz w:val="24"/>
          <w:szCs w:val="24"/>
          <w:lang w:val="en" w:eastAsia="en-GB"/>
        </w:rPr>
        <w:t xml:space="preserve"> (Element 3) is </w:t>
      </w:r>
      <w:r w:rsidR="00C13148">
        <w:rPr>
          <w:rFonts w:ascii="Arial" w:eastAsia="Times New Roman" w:hAnsi="Arial" w:cs="Arial"/>
          <w:sz w:val="24"/>
          <w:szCs w:val="24"/>
          <w:lang w:val="en" w:eastAsia="en-GB"/>
        </w:rPr>
        <w:t>support costs required by an individual above £6,000</w:t>
      </w:r>
    </w:p>
    <w:p w14:paraId="3E4B20E3" w14:textId="77777777" w:rsidR="0029440F" w:rsidRDefault="00D85797" w:rsidP="003C209E">
      <w:pPr>
        <w:spacing w:before="100" w:beforeAutospacing="1" w:after="100" w:afterAutospacing="1" w:line="240" w:lineRule="auto"/>
        <w:ind w:left="720"/>
        <w:rPr>
          <w:rFonts w:ascii="Arial" w:eastAsia="Times New Roman" w:hAnsi="Arial" w:cs="Arial"/>
          <w:sz w:val="24"/>
          <w:szCs w:val="24"/>
          <w:lang w:val="en" w:eastAsia="en-GB"/>
        </w:rPr>
      </w:pPr>
      <w:r>
        <w:rPr>
          <w:rFonts w:ascii="Arial" w:eastAsia="Times New Roman" w:hAnsi="Arial" w:cs="Arial"/>
          <w:sz w:val="24"/>
          <w:szCs w:val="24"/>
          <w:lang w:val="en" w:eastAsia="en-GB"/>
        </w:rPr>
        <w:t>Providers</w:t>
      </w:r>
      <w:r w:rsidR="00C13148">
        <w:rPr>
          <w:rFonts w:ascii="Arial" w:eastAsia="Times New Roman" w:hAnsi="Arial" w:cs="Arial"/>
          <w:sz w:val="24"/>
          <w:szCs w:val="24"/>
          <w:lang w:val="en" w:eastAsia="en-GB"/>
        </w:rPr>
        <w:t xml:space="preserve"> receive the three elements of funding from the following </w:t>
      </w:r>
      <w:proofErr w:type="gramStart"/>
      <w:r w:rsidR="00C13148">
        <w:rPr>
          <w:rFonts w:ascii="Arial" w:eastAsia="Times New Roman" w:hAnsi="Arial" w:cs="Arial"/>
          <w:sz w:val="24"/>
          <w:szCs w:val="24"/>
          <w:lang w:val="en" w:eastAsia="en-GB"/>
        </w:rPr>
        <w:t>sources:-</w:t>
      </w:r>
      <w:proofErr w:type="gramEnd"/>
    </w:p>
    <w:tbl>
      <w:tblPr>
        <w:tblStyle w:val="TableGrid"/>
        <w:tblW w:w="0" w:type="auto"/>
        <w:tblInd w:w="720" w:type="dxa"/>
        <w:tblLook w:val="04A0" w:firstRow="1" w:lastRow="0" w:firstColumn="1" w:lastColumn="0" w:noHBand="0" w:noVBand="1"/>
      </w:tblPr>
      <w:tblGrid>
        <w:gridCol w:w="2112"/>
        <w:gridCol w:w="1983"/>
        <w:gridCol w:w="2174"/>
        <w:gridCol w:w="2027"/>
      </w:tblGrid>
      <w:tr w:rsidR="00FD6268" w14:paraId="341D48D7" w14:textId="77777777" w:rsidTr="008F69ED">
        <w:tc>
          <w:tcPr>
            <w:tcW w:w="2112" w:type="dxa"/>
          </w:tcPr>
          <w:p w14:paraId="63398785" w14:textId="77777777" w:rsidR="00FD6268" w:rsidRPr="00FD6268" w:rsidRDefault="00FD6268" w:rsidP="00FD6268">
            <w:pPr>
              <w:spacing w:before="100" w:beforeAutospacing="1" w:after="100" w:afterAutospacing="1"/>
              <w:jc w:val="center"/>
              <w:rPr>
                <w:rFonts w:ascii="Arial" w:eastAsia="Times New Roman" w:hAnsi="Arial" w:cs="Arial"/>
                <w:b/>
                <w:bCs/>
                <w:sz w:val="24"/>
                <w:szCs w:val="24"/>
                <w:lang w:val="en" w:eastAsia="en-GB"/>
              </w:rPr>
            </w:pPr>
            <w:r w:rsidRPr="00FD6268">
              <w:rPr>
                <w:rFonts w:ascii="Arial" w:eastAsia="Times New Roman" w:hAnsi="Arial" w:cs="Arial"/>
                <w:b/>
                <w:bCs/>
                <w:sz w:val="24"/>
                <w:szCs w:val="24"/>
                <w:lang w:val="en" w:eastAsia="en-GB"/>
              </w:rPr>
              <w:t>Type of Provision</w:t>
            </w:r>
          </w:p>
        </w:tc>
        <w:tc>
          <w:tcPr>
            <w:tcW w:w="1983" w:type="dxa"/>
          </w:tcPr>
          <w:p w14:paraId="3110D81A" w14:textId="77777777" w:rsidR="00FD6268" w:rsidRPr="00FD6268" w:rsidRDefault="00FD6268" w:rsidP="00FD6268">
            <w:pPr>
              <w:spacing w:before="100" w:beforeAutospacing="1" w:after="100" w:afterAutospacing="1"/>
              <w:jc w:val="center"/>
              <w:rPr>
                <w:rFonts w:ascii="Arial" w:eastAsia="Times New Roman" w:hAnsi="Arial" w:cs="Arial"/>
                <w:b/>
                <w:bCs/>
                <w:sz w:val="24"/>
                <w:szCs w:val="24"/>
                <w:lang w:val="en" w:eastAsia="en-GB"/>
              </w:rPr>
            </w:pPr>
            <w:r w:rsidRPr="00FD6268">
              <w:rPr>
                <w:rFonts w:ascii="Arial" w:eastAsia="Times New Roman" w:hAnsi="Arial" w:cs="Arial"/>
                <w:b/>
                <w:bCs/>
                <w:sz w:val="24"/>
                <w:szCs w:val="24"/>
                <w:lang w:val="en" w:eastAsia="en-GB"/>
              </w:rPr>
              <w:t>Core Funding</w:t>
            </w:r>
          </w:p>
        </w:tc>
        <w:tc>
          <w:tcPr>
            <w:tcW w:w="2174" w:type="dxa"/>
          </w:tcPr>
          <w:p w14:paraId="6E3F2EAA" w14:textId="77777777" w:rsidR="00FD6268" w:rsidRPr="00FD6268" w:rsidRDefault="00FD6268" w:rsidP="00FD6268">
            <w:pPr>
              <w:spacing w:before="100" w:beforeAutospacing="1" w:after="100" w:afterAutospacing="1"/>
              <w:jc w:val="center"/>
              <w:rPr>
                <w:rFonts w:ascii="Arial" w:eastAsia="Times New Roman" w:hAnsi="Arial" w:cs="Arial"/>
                <w:b/>
                <w:bCs/>
                <w:sz w:val="24"/>
                <w:szCs w:val="24"/>
                <w:lang w:val="en" w:eastAsia="en-GB"/>
              </w:rPr>
            </w:pPr>
            <w:r w:rsidRPr="00FD6268">
              <w:rPr>
                <w:rFonts w:ascii="Arial" w:eastAsia="Times New Roman" w:hAnsi="Arial" w:cs="Arial"/>
                <w:b/>
                <w:bCs/>
                <w:sz w:val="24"/>
                <w:szCs w:val="24"/>
                <w:lang w:val="en" w:eastAsia="en-GB"/>
              </w:rPr>
              <w:t>Additional Support Costs</w:t>
            </w:r>
          </w:p>
        </w:tc>
        <w:tc>
          <w:tcPr>
            <w:tcW w:w="2027" w:type="dxa"/>
          </w:tcPr>
          <w:p w14:paraId="08EE2C11" w14:textId="77777777" w:rsidR="00FD6268" w:rsidRPr="00FD6268" w:rsidRDefault="00FD6268" w:rsidP="00FD6268">
            <w:pPr>
              <w:spacing w:before="100" w:beforeAutospacing="1" w:after="100" w:afterAutospacing="1"/>
              <w:jc w:val="center"/>
              <w:rPr>
                <w:rFonts w:ascii="Arial" w:eastAsia="Times New Roman" w:hAnsi="Arial" w:cs="Arial"/>
                <w:b/>
                <w:bCs/>
                <w:sz w:val="24"/>
                <w:szCs w:val="24"/>
                <w:lang w:val="en" w:eastAsia="en-GB"/>
              </w:rPr>
            </w:pPr>
            <w:r w:rsidRPr="00FD6268">
              <w:rPr>
                <w:rFonts w:ascii="Arial" w:eastAsia="Times New Roman" w:hAnsi="Arial" w:cs="Arial"/>
                <w:b/>
                <w:bCs/>
                <w:sz w:val="24"/>
                <w:szCs w:val="24"/>
                <w:lang w:val="en" w:eastAsia="en-GB"/>
              </w:rPr>
              <w:t>Top-Up</w:t>
            </w:r>
          </w:p>
        </w:tc>
      </w:tr>
      <w:tr w:rsidR="00FD6268" w14:paraId="29465877" w14:textId="77777777" w:rsidTr="008F69ED">
        <w:tc>
          <w:tcPr>
            <w:tcW w:w="2112" w:type="dxa"/>
          </w:tcPr>
          <w:p w14:paraId="62803094" w14:textId="77777777" w:rsidR="00FD6268" w:rsidRDefault="00FD6268"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Mainstream Schools, Academy and Free Schools</w:t>
            </w:r>
          </w:p>
        </w:tc>
        <w:tc>
          <w:tcPr>
            <w:tcW w:w="1983" w:type="dxa"/>
          </w:tcPr>
          <w:p w14:paraId="6AD47AC0" w14:textId="77777777" w:rsidR="00FD6268" w:rsidRDefault="00FD6268"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Included within the per-pupil funding through the local school funding formula (AWPU).</w:t>
            </w:r>
          </w:p>
        </w:tc>
        <w:tc>
          <w:tcPr>
            <w:tcW w:w="2174" w:type="dxa"/>
          </w:tcPr>
          <w:p w14:paraId="7476018C" w14:textId="77777777" w:rsidR="00FD6268" w:rsidRPr="001E680F" w:rsidRDefault="00FD6268" w:rsidP="00FD6268">
            <w:pPr>
              <w:autoSpaceDE w:val="0"/>
              <w:autoSpaceDN w:val="0"/>
              <w:adjustRightInd w:val="0"/>
              <w:rPr>
                <w:rFonts w:ascii="Arial" w:hAnsi="Arial" w:cs="Arial"/>
                <w:color w:val="0B0C0C"/>
              </w:rPr>
            </w:pPr>
            <w:r w:rsidRPr="001E680F">
              <w:rPr>
                <w:rFonts w:ascii="Arial" w:hAnsi="Arial" w:cs="Arial"/>
                <w:color w:val="0B0C0C"/>
              </w:rPr>
              <w:t>The first £6,000 of additional support</w:t>
            </w:r>
          </w:p>
          <w:p w14:paraId="6E2643FA" w14:textId="77777777" w:rsidR="00FD6268" w:rsidRPr="001E680F" w:rsidRDefault="00FD6268" w:rsidP="00FD6268">
            <w:pPr>
              <w:autoSpaceDE w:val="0"/>
              <w:autoSpaceDN w:val="0"/>
              <w:adjustRightInd w:val="0"/>
              <w:rPr>
                <w:rFonts w:ascii="Arial" w:hAnsi="Arial" w:cs="Arial"/>
                <w:color w:val="0B0C0C"/>
              </w:rPr>
            </w:pPr>
            <w:r w:rsidRPr="001E680F">
              <w:rPr>
                <w:rFonts w:ascii="Arial" w:hAnsi="Arial" w:cs="Arial"/>
                <w:color w:val="0B0C0C"/>
              </w:rPr>
              <w:t>costs are delegated</w:t>
            </w:r>
          </w:p>
          <w:p w14:paraId="4D0AD238" w14:textId="77777777" w:rsidR="00FD6268" w:rsidRPr="001E680F" w:rsidRDefault="00FD6268" w:rsidP="00FD6268">
            <w:pPr>
              <w:autoSpaceDE w:val="0"/>
              <w:autoSpaceDN w:val="0"/>
              <w:adjustRightInd w:val="0"/>
              <w:rPr>
                <w:rFonts w:ascii="Arial" w:hAnsi="Arial" w:cs="Arial"/>
                <w:color w:val="0B0C0C"/>
              </w:rPr>
            </w:pPr>
            <w:r w:rsidRPr="001E680F">
              <w:rPr>
                <w:rFonts w:ascii="Arial" w:hAnsi="Arial" w:cs="Arial"/>
                <w:color w:val="0B0C0C"/>
              </w:rPr>
              <w:t>within school</w:t>
            </w:r>
          </w:p>
          <w:p w14:paraId="332F86AF" w14:textId="77777777" w:rsidR="00FD6268" w:rsidRPr="001E680F" w:rsidRDefault="00FD6268" w:rsidP="00FD6268">
            <w:pPr>
              <w:autoSpaceDE w:val="0"/>
              <w:autoSpaceDN w:val="0"/>
              <w:adjustRightInd w:val="0"/>
              <w:rPr>
                <w:rFonts w:ascii="Arial" w:hAnsi="Arial" w:cs="Arial"/>
                <w:color w:val="0B0C0C"/>
              </w:rPr>
            </w:pPr>
            <w:r w:rsidRPr="001E680F">
              <w:rPr>
                <w:rFonts w:ascii="Arial" w:hAnsi="Arial" w:cs="Arial"/>
                <w:color w:val="0B0C0C"/>
              </w:rPr>
              <w:t>budget and</w:t>
            </w:r>
          </w:p>
          <w:p w14:paraId="414EC755" w14:textId="77777777" w:rsidR="00FD6268" w:rsidRDefault="00FD6268" w:rsidP="00FD6268">
            <w:pPr>
              <w:autoSpaceDE w:val="0"/>
              <w:autoSpaceDN w:val="0"/>
              <w:adjustRightInd w:val="0"/>
              <w:rPr>
                <w:rFonts w:ascii="Arial" w:eastAsia="Times New Roman" w:hAnsi="Arial" w:cs="Arial"/>
                <w:sz w:val="24"/>
                <w:szCs w:val="24"/>
                <w:lang w:val="en" w:eastAsia="en-GB"/>
              </w:rPr>
            </w:pPr>
            <w:r w:rsidRPr="001E680F">
              <w:rPr>
                <w:rFonts w:ascii="Arial" w:hAnsi="Arial" w:cs="Arial"/>
                <w:color w:val="0B0C0C"/>
              </w:rPr>
              <w:t>academy grant</w:t>
            </w:r>
            <w:r>
              <w:rPr>
                <w:rFonts w:ascii="Arial" w:hAnsi="Arial" w:cs="Arial"/>
                <w:color w:val="0B0C0C"/>
              </w:rPr>
              <w:t xml:space="preserve"> </w:t>
            </w:r>
            <w:r w:rsidRPr="001E680F">
              <w:rPr>
                <w:rFonts w:ascii="Arial" w:hAnsi="Arial" w:cs="Arial"/>
                <w:color w:val="0B0C0C"/>
              </w:rPr>
              <w:t>derived from local schools funding formula</w:t>
            </w:r>
            <w:r>
              <w:rPr>
                <w:rFonts w:ascii="Arial" w:hAnsi="Arial" w:cs="Arial"/>
                <w:color w:val="0B0C0C"/>
              </w:rPr>
              <w:t>.</w:t>
            </w:r>
          </w:p>
        </w:tc>
        <w:tc>
          <w:tcPr>
            <w:tcW w:w="2027" w:type="dxa"/>
          </w:tcPr>
          <w:p w14:paraId="0641E6F7" w14:textId="77777777" w:rsidR="00FD6268" w:rsidRDefault="00FD6268"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Agreed per-pupil and paid by SCC.</w:t>
            </w:r>
          </w:p>
        </w:tc>
      </w:tr>
      <w:tr w:rsidR="00501E27" w14:paraId="5A11E9DA" w14:textId="77777777" w:rsidTr="008F69ED">
        <w:tc>
          <w:tcPr>
            <w:tcW w:w="2112" w:type="dxa"/>
          </w:tcPr>
          <w:p w14:paraId="79D750B3" w14:textId="7B22850A" w:rsidR="00501E27" w:rsidRPr="000D4379" w:rsidRDefault="00501E27" w:rsidP="003C209E">
            <w:pPr>
              <w:spacing w:before="100" w:beforeAutospacing="1" w:after="100" w:afterAutospacing="1"/>
              <w:rPr>
                <w:rFonts w:ascii="Arial" w:eastAsia="Times New Roman" w:hAnsi="Arial" w:cs="Arial"/>
                <w:sz w:val="24"/>
                <w:szCs w:val="24"/>
                <w:lang w:val="en" w:eastAsia="en-GB"/>
              </w:rPr>
            </w:pPr>
            <w:r w:rsidRPr="000D4379">
              <w:rPr>
                <w:rFonts w:ascii="Arial" w:eastAsia="Times New Roman" w:hAnsi="Arial" w:cs="Arial"/>
                <w:sz w:val="24"/>
                <w:szCs w:val="24"/>
                <w:lang w:val="en" w:eastAsia="en-GB"/>
              </w:rPr>
              <w:t xml:space="preserve">Specialist Units </w:t>
            </w:r>
            <w:r w:rsidR="000D4379" w:rsidRPr="000D4379">
              <w:rPr>
                <w:rFonts w:ascii="Arial" w:eastAsia="Times New Roman" w:hAnsi="Arial" w:cs="Arial"/>
                <w:sz w:val="24"/>
                <w:szCs w:val="24"/>
                <w:lang w:val="en" w:eastAsia="en-GB"/>
              </w:rPr>
              <w:t xml:space="preserve">and Resource Bases </w:t>
            </w:r>
            <w:r w:rsidRPr="000D4379">
              <w:rPr>
                <w:rFonts w:ascii="Arial" w:eastAsia="Times New Roman" w:hAnsi="Arial" w:cs="Arial"/>
                <w:sz w:val="24"/>
                <w:szCs w:val="24"/>
                <w:lang w:val="en" w:eastAsia="en-GB"/>
              </w:rPr>
              <w:t>in Mainstream Schools</w:t>
            </w:r>
          </w:p>
        </w:tc>
        <w:tc>
          <w:tcPr>
            <w:tcW w:w="1983" w:type="dxa"/>
          </w:tcPr>
          <w:p w14:paraId="543FEB65" w14:textId="494A88D4" w:rsidR="00501E27" w:rsidRDefault="00501E27"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Included within the per-pupil funding through the local school funding formula (AWPU).</w:t>
            </w:r>
          </w:p>
        </w:tc>
        <w:tc>
          <w:tcPr>
            <w:tcW w:w="2174" w:type="dxa"/>
          </w:tcPr>
          <w:p w14:paraId="33367203" w14:textId="667E3A70" w:rsidR="008F69ED" w:rsidRPr="008F69ED" w:rsidRDefault="00501E27" w:rsidP="00FD6268">
            <w:pPr>
              <w:autoSpaceDE w:val="0"/>
              <w:autoSpaceDN w:val="0"/>
              <w:adjustRightInd w:val="0"/>
              <w:rPr>
                <w:rFonts w:ascii="Arial" w:eastAsia="Times New Roman" w:hAnsi="Arial" w:cs="Arial"/>
                <w:sz w:val="24"/>
                <w:szCs w:val="24"/>
                <w:lang w:val="en" w:eastAsia="en-GB"/>
              </w:rPr>
            </w:pPr>
            <w:r>
              <w:rPr>
                <w:rFonts w:ascii="Arial" w:hAnsi="Arial" w:cs="Arial"/>
                <w:color w:val="0B0C0C"/>
              </w:rPr>
              <w:t xml:space="preserve">£6,000 per place based on </w:t>
            </w:r>
            <w:r>
              <w:rPr>
                <w:rFonts w:ascii="Arial" w:eastAsia="Times New Roman" w:hAnsi="Arial" w:cs="Arial"/>
                <w:sz w:val="24"/>
                <w:szCs w:val="24"/>
                <w:lang w:val="en" w:eastAsia="en-GB"/>
              </w:rPr>
              <w:t>number of places commissioned by SCC.</w:t>
            </w:r>
          </w:p>
        </w:tc>
        <w:tc>
          <w:tcPr>
            <w:tcW w:w="2027" w:type="dxa"/>
          </w:tcPr>
          <w:p w14:paraId="4AC09B48" w14:textId="311D1276" w:rsidR="00501E27" w:rsidRDefault="00501E27"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Agreed per-pupil and paid by SCC.</w:t>
            </w:r>
          </w:p>
        </w:tc>
      </w:tr>
      <w:tr w:rsidR="008F69ED" w14:paraId="5BEEFDE5" w14:textId="77777777" w:rsidTr="008F69ED">
        <w:trPr>
          <w:trHeight w:val="2447"/>
        </w:trPr>
        <w:tc>
          <w:tcPr>
            <w:tcW w:w="2112" w:type="dxa"/>
          </w:tcPr>
          <w:p w14:paraId="0ABC92B1" w14:textId="77777777" w:rsidR="008F69ED" w:rsidRDefault="008F69ED"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Maintained Special Schools, Special Academies, Special Free </w:t>
            </w:r>
            <w:proofErr w:type="gramStart"/>
            <w:r>
              <w:rPr>
                <w:rFonts w:ascii="Arial" w:eastAsia="Times New Roman" w:hAnsi="Arial" w:cs="Arial"/>
                <w:sz w:val="24"/>
                <w:szCs w:val="24"/>
                <w:lang w:val="en" w:eastAsia="en-GB"/>
              </w:rPr>
              <w:t>Schools</w:t>
            </w:r>
            <w:proofErr w:type="gramEnd"/>
            <w:r>
              <w:rPr>
                <w:rFonts w:ascii="Arial" w:eastAsia="Times New Roman" w:hAnsi="Arial" w:cs="Arial"/>
                <w:sz w:val="24"/>
                <w:szCs w:val="24"/>
                <w:lang w:val="en" w:eastAsia="en-GB"/>
              </w:rPr>
              <w:t xml:space="preserve"> and Non-Maintained Special Schools.</w:t>
            </w:r>
          </w:p>
          <w:p w14:paraId="7F545262" w14:textId="77777777" w:rsidR="008F69ED" w:rsidRDefault="008F69ED" w:rsidP="003C209E">
            <w:pPr>
              <w:spacing w:before="100" w:beforeAutospacing="1" w:after="100" w:afterAutospacing="1"/>
              <w:rPr>
                <w:rFonts w:ascii="Arial" w:eastAsia="Times New Roman" w:hAnsi="Arial" w:cs="Arial"/>
                <w:sz w:val="24"/>
                <w:szCs w:val="24"/>
                <w:lang w:val="en" w:eastAsia="en-GB"/>
              </w:rPr>
            </w:pPr>
          </w:p>
        </w:tc>
        <w:tc>
          <w:tcPr>
            <w:tcW w:w="1983" w:type="dxa"/>
          </w:tcPr>
          <w:p w14:paraId="2544872E" w14:textId="77777777" w:rsidR="008F69ED" w:rsidRDefault="008F69ED"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£10,000 per place based on the number of places commissioned by SCC.</w:t>
            </w:r>
          </w:p>
        </w:tc>
        <w:tc>
          <w:tcPr>
            <w:tcW w:w="2174" w:type="dxa"/>
          </w:tcPr>
          <w:p w14:paraId="60E981BF" w14:textId="07EDF96F" w:rsidR="008F69ED" w:rsidRDefault="008F69ED"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£10,000 per place based on the number of places commissioned by SCC.</w:t>
            </w:r>
          </w:p>
        </w:tc>
        <w:tc>
          <w:tcPr>
            <w:tcW w:w="2027" w:type="dxa"/>
          </w:tcPr>
          <w:p w14:paraId="792357DF" w14:textId="77777777" w:rsidR="008F69ED" w:rsidRDefault="008F69ED"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Agreed per-pupil and paid by SCC.</w:t>
            </w:r>
          </w:p>
        </w:tc>
      </w:tr>
      <w:tr w:rsidR="008F69ED" w14:paraId="2ACCEB17" w14:textId="77777777" w:rsidTr="008F69ED">
        <w:tc>
          <w:tcPr>
            <w:tcW w:w="2112" w:type="dxa"/>
          </w:tcPr>
          <w:p w14:paraId="7A8F2C01" w14:textId="77777777" w:rsidR="008F69ED" w:rsidRDefault="008F69ED"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Maintained Pupil Referral Units, AP Academies and AP Free Schools.</w:t>
            </w:r>
          </w:p>
        </w:tc>
        <w:tc>
          <w:tcPr>
            <w:tcW w:w="1983" w:type="dxa"/>
          </w:tcPr>
          <w:p w14:paraId="66891B60" w14:textId="77777777" w:rsidR="008F69ED" w:rsidRDefault="008F69ED"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£10,000 per place based on the number of places commissioned by SCC.</w:t>
            </w:r>
          </w:p>
        </w:tc>
        <w:tc>
          <w:tcPr>
            <w:tcW w:w="2174" w:type="dxa"/>
          </w:tcPr>
          <w:p w14:paraId="61981F31" w14:textId="3C995E66" w:rsidR="008F69ED" w:rsidRDefault="008F69ED"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£10,000 per place based on the number of places commissioned by SCC.</w:t>
            </w:r>
          </w:p>
        </w:tc>
        <w:tc>
          <w:tcPr>
            <w:tcW w:w="2027" w:type="dxa"/>
          </w:tcPr>
          <w:p w14:paraId="23F18C52" w14:textId="77777777" w:rsidR="008F69ED" w:rsidRDefault="008F69ED"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Funding per commissioned place based on formula calculated on average pupil need (75% Band G 25% Band H)</w:t>
            </w:r>
          </w:p>
          <w:p w14:paraId="04A0E063" w14:textId="77777777" w:rsidR="008F69ED" w:rsidRDefault="008F69ED" w:rsidP="003C209E">
            <w:pPr>
              <w:spacing w:before="100" w:beforeAutospacing="1" w:after="100" w:afterAutospacing="1"/>
              <w:rPr>
                <w:rFonts w:ascii="Arial" w:eastAsia="Times New Roman" w:hAnsi="Arial" w:cs="Arial"/>
                <w:sz w:val="24"/>
                <w:szCs w:val="24"/>
                <w:lang w:val="en" w:eastAsia="en-GB"/>
              </w:rPr>
            </w:pPr>
          </w:p>
        </w:tc>
      </w:tr>
      <w:tr w:rsidR="000E2729" w14:paraId="0D16CE90" w14:textId="77777777" w:rsidTr="008F69ED">
        <w:tc>
          <w:tcPr>
            <w:tcW w:w="2112" w:type="dxa"/>
          </w:tcPr>
          <w:p w14:paraId="1263A2E1" w14:textId="77777777" w:rsidR="000E2729" w:rsidRDefault="000E2729"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FE Institutions, Special Post 16 Institutions and Post 16 Private training Providers.</w:t>
            </w:r>
          </w:p>
        </w:tc>
        <w:tc>
          <w:tcPr>
            <w:tcW w:w="1983" w:type="dxa"/>
          </w:tcPr>
          <w:p w14:paraId="136C5D32" w14:textId="77777777" w:rsidR="000E2729" w:rsidRDefault="000E2729"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Received directly from the ESFA and based on 16-19 National Funding Formula.</w:t>
            </w:r>
          </w:p>
        </w:tc>
        <w:tc>
          <w:tcPr>
            <w:tcW w:w="2174" w:type="dxa"/>
          </w:tcPr>
          <w:p w14:paraId="3F3FF745" w14:textId="77777777" w:rsidR="000E2729" w:rsidRDefault="000E2729"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Received either directly from the ESFA or </w:t>
            </w:r>
            <w:r w:rsidR="00665E46">
              <w:rPr>
                <w:rFonts w:ascii="Arial" w:eastAsia="Times New Roman" w:hAnsi="Arial" w:cs="Arial"/>
                <w:sz w:val="24"/>
                <w:szCs w:val="24"/>
                <w:lang w:val="en" w:eastAsia="en-GB"/>
              </w:rPr>
              <w:t>from SCC</w:t>
            </w:r>
          </w:p>
        </w:tc>
        <w:tc>
          <w:tcPr>
            <w:tcW w:w="2027" w:type="dxa"/>
          </w:tcPr>
          <w:p w14:paraId="13FDDD13" w14:textId="77777777" w:rsidR="000E2729" w:rsidRDefault="00665E46" w:rsidP="003C209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Agreed per-pupil and paid by SCC.</w:t>
            </w:r>
          </w:p>
        </w:tc>
      </w:tr>
    </w:tbl>
    <w:p w14:paraId="3567F22C" w14:textId="77777777" w:rsidR="00C61BF8" w:rsidRDefault="00C61BF8" w:rsidP="00C61BF8">
      <w:pPr>
        <w:pStyle w:val="ListParagraph"/>
        <w:autoSpaceDE w:val="0"/>
        <w:autoSpaceDN w:val="0"/>
        <w:adjustRightInd w:val="0"/>
        <w:spacing w:after="0" w:line="240" w:lineRule="auto"/>
        <w:rPr>
          <w:rFonts w:ascii="Arial" w:hAnsi="Arial" w:cs="Arial"/>
          <w:b/>
          <w:sz w:val="24"/>
          <w:szCs w:val="24"/>
        </w:rPr>
      </w:pPr>
    </w:p>
    <w:p w14:paraId="5DA20EFB" w14:textId="6C3F5EC3" w:rsidR="00712E4D" w:rsidRPr="008F69ED" w:rsidRDefault="003C209E" w:rsidP="008F69ED">
      <w:pPr>
        <w:pStyle w:val="Heading2"/>
        <w:numPr>
          <w:ilvl w:val="0"/>
          <w:numId w:val="13"/>
        </w:numPr>
        <w:rPr>
          <w:rFonts w:ascii="Arial" w:hAnsi="Arial" w:cs="Arial"/>
        </w:rPr>
      </w:pPr>
      <w:r w:rsidRPr="008F69ED">
        <w:rPr>
          <w:rFonts w:ascii="Arial" w:hAnsi="Arial" w:cs="Arial"/>
          <w:color w:val="auto"/>
        </w:rPr>
        <w:t>Top</w:t>
      </w:r>
      <w:r w:rsidR="0062073A" w:rsidRPr="008F69ED">
        <w:rPr>
          <w:rFonts w:ascii="Arial" w:hAnsi="Arial" w:cs="Arial"/>
          <w:color w:val="auto"/>
        </w:rPr>
        <w:t>-</w:t>
      </w:r>
      <w:r w:rsidRPr="008F69ED">
        <w:rPr>
          <w:rFonts w:ascii="Arial" w:hAnsi="Arial" w:cs="Arial"/>
          <w:color w:val="auto"/>
        </w:rPr>
        <w:t xml:space="preserve">Up Funding </w:t>
      </w:r>
      <w:r w:rsidR="00E41DB2" w:rsidRPr="008F69ED">
        <w:rPr>
          <w:rFonts w:ascii="Arial" w:hAnsi="Arial" w:cs="Arial"/>
          <w:color w:val="auto"/>
        </w:rPr>
        <w:t>(Element 3)</w:t>
      </w:r>
    </w:p>
    <w:p w14:paraId="2D25AC0B" w14:textId="77777777" w:rsidR="00712E4D" w:rsidRPr="00D64D72" w:rsidRDefault="00712E4D" w:rsidP="00712E4D">
      <w:pPr>
        <w:pStyle w:val="ListParagraph"/>
        <w:autoSpaceDE w:val="0"/>
        <w:autoSpaceDN w:val="0"/>
        <w:adjustRightInd w:val="0"/>
        <w:spacing w:after="0" w:line="240" w:lineRule="auto"/>
        <w:rPr>
          <w:rFonts w:ascii="Arial" w:hAnsi="Arial" w:cs="Arial"/>
          <w:sz w:val="24"/>
          <w:szCs w:val="24"/>
        </w:rPr>
      </w:pPr>
    </w:p>
    <w:p w14:paraId="1945FB50" w14:textId="4387D539" w:rsidR="00712E4D" w:rsidRDefault="00C84523" w:rsidP="00712E4D">
      <w:pPr>
        <w:pStyle w:val="ListParagraph"/>
        <w:autoSpaceDE w:val="0"/>
        <w:autoSpaceDN w:val="0"/>
        <w:adjustRightInd w:val="0"/>
        <w:spacing w:after="0" w:line="240" w:lineRule="auto"/>
        <w:rPr>
          <w:rFonts w:ascii="Arial" w:hAnsi="Arial" w:cs="Arial"/>
          <w:sz w:val="24"/>
          <w:szCs w:val="24"/>
        </w:rPr>
      </w:pPr>
      <w:bookmarkStart w:id="1" w:name="_Hlk12877414"/>
      <w:r w:rsidRPr="00D64D72">
        <w:rPr>
          <w:rFonts w:ascii="Arial" w:hAnsi="Arial" w:cs="Arial"/>
          <w:sz w:val="24"/>
          <w:lang w:val="en"/>
        </w:rPr>
        <w:t>Top-up funding is the funding required over and above the core funding an</w:t>
      </w:r>
      <w:r w:rsidR="00E77255" w:rsidRPr="00D64D72">
        <w:rPr>
          <w:rFonts w:ascii="Arial" w:hAnsi="Arial" w:cs="Arial"/>
          <w:sz w:val="24"/>
          <w:lang w:val="en"/>
        </w:rPr>
        <w:t>y</w:t>
      </w:r>
      <w:r w:rsidRPr="00D64D72">
        <w:rPr>
          <w:rFonts w:ascii="Arial" w:hAnsi="Arial" w:cs="Arial"/>
          <w:sz w:val="24"/>
          <w:lang w:val="en"/>
        </w:rPr>
        <w:t xml:space="preserve"> provider receives, to enable a pupil with high needs to participate in education </w:t>
      </w:r>
      <w:r w:rsidRPr="00D64D72">
        <w:rPr>
          <w:rFonts w:ascii="Arial" w:hAnsi="Arial" w:cs="Arial"/>
          <w:sz w:val="24"/>
          <w:szCs w:val="24"/>
          <w:lang w:val="en"/>
        </w:rPr>
        <w:t>and learning</w:t>
      </w:r>
      <w:r w:rsidR="0067649A" w:rsidRPr="00D64D72">
        <w:rPr>
          <w:rFonts w:ascii="Arial" w:hAnsi="Arial" w:cs="Arial"/>
          <w:sz w:val="24"/>
          <w:szCs w:val="24"/>
          <w:lang w:val="en"/>
        </w:rPr>
        <w:t xml:space="preserve">.  </w:t>
      </w:r>
      <w:bookmarkEnd w:id="1"/>
      <w:r w:rsidR="00E41DB2" w:rsidRPr="00D64D72">
        <w:rPr>
          <w:rFonts w:ascii="Arial" w:hAnsi="Arial" w:cs="Arial"/>
          <w:sz w:val="24"/>
          <w:szCs w:val="24"/>
          <w:lang w:val="en"/>
        </w:rPr>
        <w:t xml:space="preserve">This funding is to meet the needs of the individual beyond the first £6,000 of support required.  </w:t>
      </w:r>
      <w:r w:rsidR="007E4CDA" w:rsidRPr="00D64D72">
        <w:rPr>
          <w:rFonts w:ascii="Arial" w:hAnsi="Arial" w:cs="Arial"/>
          <w:sz w:val="24"/>
          <w:szCs w:val="24"/>
        </w:rPr>
        <w:t xml:space="preserve">This is allocated by SCC to providers from </w:t>
      </w:r>
      <w:r w:rsidRPr="00D64D72">
        <w:rPr>
          <w:rFonts w:ascii="Arial" w:hAnsi="Arial" w:cs="Arial"/>
          <w:sz w:val="24"/>
          <w:szCs w:val="24"/>
        </w:rPr>
        <w:t>the</w:t>
      </w:r>
      <w:r w:rsidR="007E4CDA" w:rsidRPr="00D64D72">
        <w:rPr>
          <w:rFonts w:ascii="Arial" w:hAnsi="Arial" w:cs="Arial"/>
          <w:sz w:val="24"/>
          <w:szCs w:val="24"/>
        </w:rPr>
        <w:t xml:space="preserve"> high needs budget.  </w:t>
      </w:r>
      <w:r w:rsidR="00712E4D" w:rsidRPr="00D64D72">
        <w:rPr>
          <w:rFonts w:ascii="Arial" w:hAnsi="Arial" w:cs="Arial"/>
          <w:sz w:val="24"/>
          <w:szCs w:val="24"/>
        </w:rPr>
        <w:t xml:space="preserve">All high needs </w:t>
      </w:r>
      <w:r w:rsidR="007E4CDA" w:rsidRPr="00D64D72">
        <w:rPr>
          <w:rFonts w:ascii="Arial" w:hAnsi="Arial" w:cs="Arial"/>
          <w:sz w:val="24"/>
          <w:szCs w:val="24"/>
        </w:rPr>
        <w:t xml:space="preserve">top-up </w:t>
      </w:r>
      <w:r w:rsidR="00712E4D" w:rsidRPr="00D64D72">
        <w:rPr>
          <w:rFonts w:ascii="Arial" w:hAnsi="Arial" w:cs="Arial"/>
          <w:sz w:val="24"/>
          <w:szCs w:val="24"/>
        </w:rPr>
        <w:t xml:space="preserve">funding </w:t>
      </w:r>
      <w:r w:rsidR="00E41DB2" w:rsidRPr="00D64D72">
        <w:rPr>
          <w:rFonts w:ascii="Arial" w:hAnsi="Arial" w:cs="Arial"/>
          <w:sz w:val="24"/>
          <w:szCs w:val="24"/>
        </w:rPr>
        <w:t xml:space="preserve">is </w:t>
      </w:r>
      <w:r w:rsidR="00712E4D" w:rsidRPr="00D64D72">
        <w:rPr>
          <w:rFonts w:ascii="Arial" w:hAnsi="Arial" w:cs="Arial"/>
          <w:sz w:val="24"/>
          <w:szCs w:val="24"/>
        </w:rPr>
        <w:t xml:space="preserve">paid on a Universal High Needs Banding system.  </w:t>
      </w:r>
      <w:r w:rsidR="00785AAD" w:rsidRPr="00D64D72">
        <w:rPr>
          <w:rFonts w:ascii="Arial" w:hAnsi="Arial" w:cs="Arial"/>
          <w:sz w:val="24"/>
          <w:szCs w:val="24"/>
        </w:rPr>
        <w:t>Therefore,</w:t>
      </w:r>
      <w:r w:rsidR="00712E4D" w:rsidRPr="00D64D72">
        <w:rPr>
          <w:rFonts w:ascii="Arial" w:hAnsi="Arial" w:cs="Arial"/>
          <w:sz w:val="24"/>
          <w:szCs w:val="24"/>
        </w:rPr>
        <w:t xml:space="preserve"> all children and young people in Suffolk are funded based on their needs as assessed against the banding descriptors</w:t>
      </w:r>
      <w:r w:rsidR="00D64D72" w:rsidRPr="00D64D72">
        <w:rPr>
          <w:rFonts w:ascii="Arial" w:hAnsi="Arial" w:cs="Arial"/>
          <w:sz w:val="24"/>
          <w:szCs w:val="24"/>
        </w:rPr>
        <w:t>.</w:t>
      </w:r>
    </w:p>
    <w:p w14:paraId="2CC6F352" w14:textId="77777777" w:rsidR="00E41DB2" w:rsidRDefault="00E41DB2" w:rsidP="00712E4D">
      <w:pPr>
        <w:pStyle w:val="ListParagraph"/>
        <w:autoSpaceDE w:val="0"/>
        <w:autoSpaceDN w:val="0"/>
        <w:adjustRightInd w:val="0"/>
        <w:spacing w:after="0" w:line="240" w:lineRule="auto"/>
        <w:rPr>
          <w:rFonts w:ascii="Arial" w:hAnsi="Arial" w:cs="Arial"/>
          <w:sz w:val="24"/>
          <w:szCs w:val="24"/>
        </w:rPr>
      </w:pPr>
    </w:p>
    <w:p w14:paraId="677160A9" w14:textId="2B5B613A" w:rsidR="00D64D72" w:rsidRPr="00D64D72" w:rsidRDefault="00D64D72" w:rsidP="00D64D72">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All children and young people with SEND needs educated in Suffolk have a High Needs Band.  These bands stay with an individual for the duration of their education</w:t>
      </w:r>
      <w:r w:rsidR="000A6B50">
        <w:rPr>
          <w:rFonts w:ascii="Arial" w:hAnsi="Arial" w:cs="Arial"/>
          <w:sz w:val="24"/>
          <w:szCs w:val="24"/>
        </w:rPr>
        <w:t xml:space="preserve"> and do not change unless a provider requests </w:t>
      </w:r>
      <w:proofErr w:type="gramStart"/>
      <w:r w:rsidR="000A6B50">
        <w:rPr>
          <w:rFonts w:ascii="Arial" w:hAnsi="Arial" w:cs="Arial"/>
          <w:sz w:val="24"/>
          <w:szCs w:val="24"/>
        </w:rPr>
        <w:t>it</w:t>
      </w:r>
      <w:proofErr w:type="gramEnd"/>
      <w:r w:rsidR="000A6B50">
        <w:rPr>
          <w:rFonts w:ascii="Arial" w:hAnsi="Arial" w:cs="Arial"/>
          <w:sz w:val="24"/>
          <w:szCs w:val="24"/>
        </w:rPr>
        <w:t xml:space="preserve"> or SCC identify that it needs to change through the audit process</w:t>
      </w:r>
      <w:r>
        <w:rPr>
          <w:rFonts w:ascii="Arial" w:hAnsi="Arial" w:cs="Arial"/>
          <w:sz w:val="24"/>
          <w:szCs w:val="24"/>
        </w:rPr>
        <w:t xml:space="preserve">.  Description of the bandings and the funding they attract can be found </w:t>
      </w:r>
      <w:hyperlink r:id="rId9" w:history="1">
        <w:r w:rsidR="008F69ED" w:rsidRPr="003F7EF3">
          <w:rPr>
            <w:rStyle w:val="Hyperlink"/>
            <w:rFonts w:ascii="Arial" w:hAnsi="Arial" w:cs="Arial"/>
            <w:sz w:val="24"/>
            <w:szCs w:val="24"/>
          </w:rPr>
          <w:t>on the Suffolk Learning page</w:t>
        </w:r>
        <w:r w:rsidR="003F7EF3" w:rsidRPr="003F7EF3">
          <w:rPr>
            <w:rStyle w:val="Hyperlink"/>
            <w:rFonts w:ascii="Arial" w:hAnsi="Arial" w:cs="Arial"/>
            <w:sz w:val="24"/>
            <w:szCs w:val="24"/>
          </w:rPr>
          <w:t xml:space="preserve"> -</w:t>
        </w:r>
        <w:r w:rsidRPr="003F7EF3">
          <w:rPr>
            <w:rStyle w:val="Hyperlink"/>
            <w:rFonts w:ascii="Arial" w:hAnsi="Arial" w:cs="Arial"/>
            <w:sz w:val="24"/>
            <w:szCs w:val="24"/>
          </w:rPr>
          <w:t xml:space="preserve"> </w:t>
        </w:r>
        <w:r w:rsidRPr="003F7EF3">
          <w:rPr>
            <w:rStyle w:val="Hyperlink"/>
            <w:rFonts w:ascii="Arial" w:hAnsi="Arial" w:cs="Arial"/>
            <w:sz w:val="24"/>
          </w:rPr>
          <w:t>High Needs Funding</w:t>
        </w:r>
      </w:hyperlink>
      <w:r w:rsidR="00AC03A5" w:rsidRPr="00AC03A5">
        <w:rPr>
          <w:rFonts w:ascii="Arial" w:hAnsi="Arial" w:cs="Arial"/>
          <w:sz w:val="24"/>
        </w:rPr>
        <w:t>.</w:t>
      </w:r>
    </w:p>
    <w:p w14:paraId="0396255D" w14:textId="77777777" w:rsidR="00D64D72" w:rsidRPr="00D64D72" w:rsidRDefault="00D64D72" w:rsidP="00D64D72">
      <w:pPr>
        <w:autoSpaceDE w:val="0"/>
        <w:autoSpaceDN w:val="0"/>
        <w:adjustRightInd w:val="0"/>
        <w:spacing w:after="0" w:line="240" w:lineRule="auto"/>
        <w:rPr>
          <w:rFonts w:ascii="Arial" w:hAnsi="Arial" w:cs="Arial"/>
          <w:sz w:val="24"/>
          <w:szCs w:val="24"/>
        </w:rPr>
      </w:pPr>
    </w:p>
    <w:p w14:paraId="32241ED4" w14:textId="77777777" w:rsidR="003F6C57" w:rsidRDefault="00D64D72" w:rsidP="003F6C57">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a termly basis </w:t>
      </w:r>
      <w:r w:rsidR="00D85797">
        <w:rPr>
          <w:rFonts w:ascii="Arial" w:hAnsi="Arial" w:cs="Arial"/>
          <w:sz w:val="24"/>
          <w:szCs w:val="24"/>
        </w:rPr>
        <w:t>provider</w:t>
      </w:r>
      <w:r>
        <w:rPr>
          <w:rFonts w:ascii="Arial" w:hAnsi="Arial" w:cs="Arial"/>
          <w:sz w:val="24"/>
          <w:szCs w:val="24"/>
        </w:rPr>
        <w:t xml:space="preserve">s </w:t>
      </w:r>
      <w:r w:rsidR="00D85797">
        <w:rPr>
          <w:rFonts w:ascii="Arial" w:hAnsi="Arial" w:cs="Arial"/>
          <w:sz w:val="24"/>
          <w:szCs w:val="24"/>
        </w:rPr>
        <w:t xml:space="preserve">are required to </w:t>
      </w:r>
      <w:r>
        <w:rPr>
          <w:rFonts w:ascii="Arial" w:hAnsi="Arial" w:cs="Arial"/>
          <w:sz w:val="24"/>
          <w:szCs w:val="24"/>
        </w:rPr>
        <w:t xml:space="preserve">submit a return to SCC identifying </w:t>
      </w:r>
      <w:proofErr w:type="gramStart"/>
      <w:r>
        <w:rPr>
          <w:rFonts w:ascii="Arial" w:hAnsi="Arial" w:cs="Arial"/>
          <w:sz w:val="24"/>
          <w:szCs w:val="24"/>
        </w:rPr>
        <w:t>all of</w:t>
      </w:r>
      <w:proofErr w:type="gramEnd"/>
      <w:r>
        <w:rPr>
          <w:rFonts w:ascii="Arial" w:hAnsi="Arial" w:cs="Arial"/>
          <w:sz w:val="24"/>
          <w:szCs w:val="24"/>
        </w:rPr>
        <w:t xml:space="preserve"> their </w:t>
      </w:r>
      <w:r w:rsidR="00D36FCB">
        <w:rPr>
          <w:rFonts w:ascii="Arial" w:hAnsi="Arial" w:cs="Arial"/>
          <w:sz w:val="24"/>
          <w:szCs w:val="24"/>
        </w:rPr>
        <w:t>pupil</w:t>
      </w:r>
      <w:r>
        <w:rPr>
          <w:rFonts w:ascii="Arial" w:hAnsi="Arial" w:cs="Arial"/>
          <w:sz w:val="24"/>
          <w:szCs w:val="24"/>
        </w:rPr>
        <w:t xml:space="preserve">s with SEND and identify any requests to change an </w:t>
      </w:r>
      <w:r w:rsidR="00B0662B">
        <w:rPr>
          <w:rFonts w:ascii="Arial" w:hAnsi="Arial" w:cs="Arial"/>
          <w:sz w:val="24"/>
          <w:szCs w:val="24"/>
        </w:rPr>
        <w:t>individual’s</w:t>
      </w:r>
      <w:r>
        <w:rPr>
          <w:rFonts w:ascii="Arial" w:hAnsi="Arial" w:cs="Arial"/>
          <w:sz w:val="24"/>
          <w:szCs w:val="24"/>
        </w:rPr>
        <w:t xml:space="preserve"> band or to request a band for a new </w:t>
      </w:r>
      <w:r w:rsidR="00D36FCB">
        <w:rPr>
          <w:rFonts w:ascii="Arial" w:hAnsi="Arial" w:cs="Arial"/>
          <w:sz w:val="24"/>
          <w:szCs w:val="24"/>
        </w:rPr>
        <w:t>pupil</w:t>
      </w:r>
      <w:r>
        <w:rPr>
          <w:rFonts w:ascii="Arial" w:hAnsi="Arial" w:cs="Arial"/>
          <w:sz w:val="24"/>
          <w:szCs w:val="24"/>
        </w:rPr>
        <w:t>.</w:t>
      </w:r>
      <w:r w:rsidR="00D85797">
        <w:rPr>
          <w:rFonts w:ascii="Arial" w:hAnsi="Arial" w:cs="Arial"/>
          <w:sz w:val="24"/>
          <w:szCs w:val="24"/>
        </w:rPr>
        <w:t xml:space="preserve">  Where a band needs to be allocated for the first time </w:t>
      </w:r>
      <w:r w:rsidR="003F6C57">
        <w:rPr>
          <w:rFonts w:ascii="Arial" w:hAnsi="Arial" w:cs="Arial"/>
          <w:sz w:val="24"/>
          <w:szCs w:val="24"/>
        </w:rPr>
        <w:t>or adjusted</w:t>
      </w:r>
      <w:r w:rsidR="00957314">
        <w:rPr>
          <w:rFonts w:ascii="Arial" w:hAnsi="Arial" w:cs="Arial"/>
          <w:sz w:val="24"/>
          <w:szCs w:val="24"/>
        </w:rPr>
        <w:t>,</w:t>
      </w:r>
      <w:r w:rsidR="003F6C57">
        <w:rPr>
          <w:rFonts w:ascii="Arial" w:hAnsi="Arial" w:cs="Arial"/>
          <w:sz w:val="24"/>
          <w:szCs w:val="24"/>
        </w:rPr>
        <w:t xml:space="preserve"> a moderation process will follow.  Providers will be asked to submit evidence to support the banding request and this will consist </w:t>
      </w:r>
      <w:proofErr w:type="gramStart"/>
      <w:r w:rsidR="003F6C57">
        <w:rPr>
          <w:rFonts w:ascii="Arial" w:hAnsi="Arial" w:cs="Arial"/>
          <w:sz w:val="24"/>
          <w:szCs w:val="24"/>
        </w:rPr>
        <w:t>of:-</w:t>
      </w:r>
      <w:proofErr w:type="gramEnd"/>
    </w:p>
    <w:p w14:paraId="2EBF6DC7" w14:textId="77777777" w:rsidR="003F6C57" w:rsidRDefault="003F6C57" w:rsidP="003F6C57">
      <w:pPr>
        <w:pStyle w:val="ListParagraph"/>
        <w:autoSpaceDE w:val="0"/>
        <w:autoSpaceDN w:val="0"/>
        <w:adjustRightInd w:val="0"/>
        <w:spacing w:after="0" w:line="240" w:lineRule="auto"/>
        <w:rPr>
          <w:rFonts w:ascii="Arial" w:hAnsi="Arial" w:cs="Arial"/>
          <w:sz w:val="24"/>
          <w:szCs w:val="24"/>
        </w:rPr>
      </w:pPr>
    </w:p>
    <w:p w14:paraId="00E33F11" w14:textId="77777777" w:rsidR="003F6C57" w:rsidRPr="007C63D2" w:rsidRDefault="003F6C57" w:rsidP="003F6C57">
      <w:pPr>
        <w:pStyle w:val="ListParagraph"/>
        <w:numPr>
          <w:ilvl w:val="0"/>
          <w:numId w:val="10"/>
        </w:numPr>
        <w:rPr>
          <w:rFonts w:ascii="Arial" w:hAnsi="Arial" w:cs="Arial"/>
          <w:bCs/>
          <w:sz w:val="24"/>
        </w:rPr>
      </w:pPr>
      <w:r w:rsidRPr="007C63D2">
        <w:rPr>
          <w:rFonts w:ascii="Arial" w:hAnsi="Arial" w:cs="Arial"/>
          <w:bCs/>
          <w:sz w:val="24"/>
        </w:rPr>
        <w:t xml:space="preserve">a costed provision map demonstrating targeted support and the costs needed to provide that support over a 39-week </w:t>
      </w:r>
      <w:proofErr w:type="gramStart"/>
      <w:r w:rsidRPr="007C63D2">
        <w:rPr>
          <w:rFonts w:ascii="Arial" w:hAnsi="Arial" w:cs="Arial"/>
          <w:bCs/>
          <w:sz w:val="24"/>
        </w:rPr>
        <w:t>period;</w:t>
      </w:r>
      <w:proofErr w:type="gramEnd"/>
    </w:p>
    <w:p w14:paraId="28F72580" w14:textId="77777777" w:rsidR="003F6C57" w:rsidRPr="007C63D2" w:rsidRDefault="003F6C57" w:rsidP="003F6C57">
      <w:pPr>
        <w:pStyle w:val="ListParagraph"/>
        <w:numPr>
          <w:ilvl w:val="0"/>
          <w:numId w:val="10"/>
        </w:numPr>
        <w:rPr>
          <w:rFonts w:ascii="Arial" w:hAnsi="Arial" w:cs="Arial"/>
          <w:bCs/>
          <w:sz w:val="24"/>
        </w:rPr>
      </w:pPr>
      <w:r w:rsidRPr="007C63D2">
        <w:rPr>
          <w:rFonts w:ascii="Arial" w:hAnsi="Arial" w:cs="Arial"/>
          <w:bCs/>
          <w:sz w:val="24"/>
        </w:rPr>
        <w:t xml:space="preserve">a succinct narrative of the child/young person’s needs against the categories of need outlined in the SEND Code of </w:t>
      </w:r>
      <w:proofErr w:type="gramStart"/>
      <w:r w:rsidRPr="007C63D2">
        <w:rPr>
          <w:rFonts w:ascii="Arial" w:hAnsi="Arial" w:cs="Arial"/>
          <w:bCs/>
          <w:sz w:val="24"/>
        </w:rPr>
        <w:t>Practice;</w:t>
      </w:r>
      <w:proofErr w:type="gramEnd"/>
    </w:p>
    <w:p w14:paraId="2C666D6E" w14:textId="77777777" w:rsidR="003F6C57" w:rsidRPr="007C63D2" w:rsidRDefault="003F6C57" w:rsidP="003F6C57">
      <w:pPr>
        <w:pStyle w:val="ListParagraph"/>
        <w:numPr>
          <w:ilvl w:val="0"/>
          <w:numId w:val="10"/>
        </w:numPr>
        <w:rPr>
          <w:rFonts w:ascii="Arial" w:hAnsi="Arial" w:cs="Arial"/>
          <w:bCs/>
          <w:sz w:val="24"/>
        </w:rPr>
      </w:pPr>
      <w:r w:rsidRPr="007C63D2">
        <w:rPr>
          <w:rFonts w:ascii="Arial" w:hAnsi="Arial" w:cs="Arial"/>
          <w:bCs/>
          <w:sz w:val="24"/>
        </w:rPr>
        <w:t xml:space="preserve">a timetable of support for the child/young </w:t>
      </w:r>
      <w:proofErr w:type="gramStart"/>
      <w:r w:rsidRPr="007C63D2">
        <w:rPr>
          <w:rFonts w:ascii="Arial" w:hAnsi="Arial" w:cs="Arial"/>
          <w:bCs/>
          <w:sz w:val="24"/>
        </w:rPr>
        <w:t>person;</w:t>
      </w:r>
      <w:proofErr w:type="gramEnd"/>
    </w:p>
    <w:p w14:paraId="7080D057" w14:textId="77777777" w:rsidR="003F6C57" w:rsidRPr="007C63D2" w:rsidRDefault="003F6C57" w:rsidP="003F6C57">
      <w:pPr>
        <w:pStyle w:val="ListParagraph"/>
        <w:numPr>
          <w:ilvl w:val="0"/>
          <w:numId w:val="10"/>
        </w:numPr>
        <w:rPr>
          <w:rFonts w:ascii="Arial" w:hAnsi="Arial" w:cs="Arial"/>
          <w:bCs/>
          <w:sz w:val="24"/>
        </w:rPr>
      </w:pPr>
      <w:r w:rsidRPr="007C63D2">
        <w:rPr>
          <w:rFonts w:ascii="Arial" w:hAnsi="Arial" w:cs="Arial"/>
          <w:bCs/>
          <w:sz w:val="24"/>
        </w:rPr>
        <w:t xml:space="preserve">details of external specialist/agency </w:t>
      </w:r>
      <w:proofErr w:type="gramStart"/>
      <w:r w:rsidRPr="007C63D2">
        <w:rPr>
          <w:rFonts w:ascii="Arial" w:hAnsi="Arial" w:cs="Arial"/>
          <w:bCs/>
          <w:sz w:val="24"/>
        </w:rPr>
        <w:t>support;</w:t>
      </w:r>
      <w:proofErr w:type="gramEnd"/>
    </w:p>
    <w:p w14:paraId="18C584B8" w14:textId="77777777" w:rsidR="003F6C57" w:rsidRDefault="003F6C57" w:rsidP="003F6C57">
      <w:pPr>
        <w:pStyle w:val="ListParagraph"/>
        <w:numPr>
          <w:ilvl w:val="0"/>
          <w:numId w:val="10"/>
        </w:numPr>
        <w:rPr>
          <w:rFonts w:ascii="Arial" w:hAnsi="Arial" w:cs="Arial"/>
          <w:bCs/>
          <w:sz w:val="24"/>
        </w:rPr>
      </w:pPr>
      <w:r w:rsidRPr="007C63D2">
        <w:rPr>
          <w:rFonts w:ascii="Arial" w:hAnsi="Arial" w:cs="Arial"/>
          <w:bCs/>
          <w:sz w:val="24"/>
        </w:rPr>
        <w:t>comprehensive assessment information used to identify need and to track progress over time.</w:t>
      </w:r>
    </w:p>
    <w:p w14:paraId="6C814050" w14:textId="77777777" w:rsidR="003F6C57" w:rsidRDefault="003F6C57" w:rsidP="003F6C57">
      <w:pPr>
        <w:pStyle w:val="ListParagraph"/>
        <w:autoSpaceDE w:val="0"/>
        <w:autoSpaceDN w:val="0"/>
        <w:adjustRightInd w:val="0"/>
        <w:spacing w:after="0" w:line="240" w:lineRule="auto"/>
        <w:rPr>
          <w:rFonts w:ascii="Arial" w:hAnsi="Arial" w:cs="Arial"/>
          <w:sz w:val="24"/>
          <w:szCs w:val="24"/>
        </w:rPr>
      </w:pPr>
    </w:p>
    <w:p w14:paraId="1788855F" w14:textId="628BBBC8" w:rsidR="008C15B2" w:rsidRDefault="003F6C57" w:rsidP="008C15B2">
      <w:pPr>
        <w:autoSpaceDE w:val="0"/>
        <w:autoSpaceDN w:val="0"/>
        <w:adjustRightInd w:val="0"/>
        <w:spacing w:after="0" w:line="240" w:lineRule="auto"/>
        <w:ind w:left="720"/>
        <w:rPr>
          <w:rFonts w:ascii="Arial" w:hAnsi="Arial" w:cs="Arial"/>
          <w:bCs/>
          <w:sz w:val="24"/>
        </w:rPr>
      </w:pPr>
      <w:r>
        <w:rPr>
          <w:rFonts w:ascii="Arial" w:hAnsi="Arial" w:cs="Arial"/>
          <w:sz w:val="24"/>
          <w:szCs w:val="24"/>
        </w:rPr>
        <w:t xml:space="preserve">Following the submission of </w:t>
      </w:r>
      <w:proofErr w:type="gramStart"/>
      <w:r>
        <w:rPr>
          <w:rFonts w:ascii="Arial" w:hAnsi="Arial" w:cs="Arial"/>
          <w:sz w:val="24"/>
          <w:szCs w:val="24"/>
        </w:rPr>
        <w:t>evidence</w:t>
      </w:r>
      <w:proofErr w:type="gramEnd"/>
      <w:r>
        <w:rPr>
          <w:rFonts w:ascii="Arial" w:hAnsi="Arial" w:cs="Arial"/>
          <w:sz w:val="24"/>
          <w:szCs w:val="24"/>
        </w:rPr>
        <w:t xml:space="preserve"> a panel of experienced SEND specialists will convene to consider all applications and </w:t>
      </w:r>
      <w:r w:rsidR="00815D1B">
        <w:rPr>
          <w:rFonts w:ascii="Arial" w:hAnsi="Arial" w:cs="Arial"/>
          <w:sz w:val="24"/>
          <w:szCs w:val="24"/>
        </w:rPr>
        <w:t>make a decision on the bandings for each case submitted.</w:t>
      </w:r>
      <w:r w:rsidR="008C15B2">
        <w:rPr>
          <w:rFonts w:ascii="Arial" w:hAnsi="Arial" w:cs="Arial"/>
          <w:sz w:val="24"/>
          <w:szCs w:val="24"/>
        </w:rPr>
        <w:t xml:space="preserve">  Moderation is supported by </w:t>
      </w:r>
      <w:r w:rsidR="008C15B2">
        <w:rPr>
          <w:rFonts w:ascii="Arial" w:hAnsi="Arial" w:cs="Arial"/>
          <w:bCs/>
          <w:sz w:val="24"/>
        </w:rPr>
        <w:t>audit visits which take place at random specialist settings on a termly basis.  These visits will ensure top-up funding is used appropriately and that schools are offered the support they need to successfully participate in the moderation process.</w:t>
      </w:r>
    </w:p>
    <w:p w14:paraId="25AFD102" w14:textId="354C05F3" w:rsidR="000A6B50" w:rsidRDefault="000A6B50" w:rsidP="008C15B2">
      <w:pPr>
        <w:autoSpaceDE w:val="0"/>
        <w:autoSpaceDN w:val="0"/>
        <w:adjustRightInd w:val="0"/>
        <w:spacing w:after="0" w:line="240" w:lineRule="auto"/>
        <w:ind w:left="720"/>
        <w:rPr>
          <w:rFonts w:ascii="Arial" w:hAnsi="Arial" w:cs="Arial"/>
          <w:bCs/>
          <w:sz w:val="24"/>
        </w:rPr>
      </w:pPr>
    </w:p>
    <w:p w14:paraId="0288F8AA" w14:textId="3D30696F" w:rsidR="00815D1B" w:rsidRPr="008C15B2" w:rsidRDefault="000A6B50" w:rsidP="000A6B50">
      <w:pPr>
        <w:pStyle w:val="ListParagraph"/>
        <w:rPr>
          <w:rFonts w:ascii="Arial" w:hAnsi="Arial" w:cs="Arial"/>
          <w:sz w:val="24"/>
          <w:szCs w:val="24"/>
        </w:rPr>
      </w:pPr>
      <w:r>
        <w:rPr>
          <w:rFonts w:ascii="Arial" w:hAnsi="Arial" w:cs="Arial"/>
          <w:bCs/>
          <w:sz w:val="24"/>
        </w:rPr>
        <w:t xml:space="preserve">Once bandings have been agreed through the moderation process payments are made in advance to providers for the following term.  For </w:t>
      </w:r>
      <w:proofErr w:type="gramStart"/>
      <w:r>
        <w:rPr>
          <w:rFonts w:ascii="Arial" w:hAnsi="Arial" w:cs="Arial"/>
          <w:bCs/>
          <w:sz w:val="24"/>
        </w:rPr>
        <w:t>example</w:t>
      </w:r>
      <w:proofErr w:type="gramEnd"/>
      <w:r>
        <w:rPr>
          <w:rFonts w:ascii="Arial" w:hAnsi="Arial" w:cs="Arial"/>
          <w:bCs/>
          <w:sz w:val="24"/>
        </w:rPr>
        <w:t xml:space="preserve"> the banding values in the October moderation are paid for the spring term, February for the summer term and May for the autumn term.</w:t>
      </w:r>
    </w:p>
    <w:p w14:paraId="5BB83F2A" w14:textId="7CDD290A" w:rsidR="00815D1B" w:rsidRDefault="00815D1B" w:rsidP="00815D1B">
      <w:pPr>
        <w:autoSpaceDE w:val="0"/>
        <w:autoSpaceDN w:val="0"/>
        <w:adjustRightInd w:val="0"/>
        <w:spacing w:after="0" w:line="240" w:lineRule="auto"/>
        <w:ind w:left="720"/>
        <w:rPr>
          <w:rFonts w:ascii="Arial" w:hAnsi="Arial" w:cs="Arial"/>
          <w:bCs/>
          <w:sz w:val="24"/>
        </w:rPr>
      </w:pPr>
      <w:r>
        <w:rPr>
          <w:rFonts w:ascii="Arial" w:hAnsi="Arial" w:cs="Arial"/>
          <w:bCs/>
          <w:sz w:val="24"/>
        </w:rPr>
        <w:t>Alongside this moderation</w:t>
      </w:r>
      <w:r w:rsidR="00957314">
        <w:rPr>
          <w:rFonts w:ascii="Arial" w:hAnsi="Arial" w:cs="Arial"/>
          <w:bCs/>
          <w:sz w:val="24"/>
        </w:rPr>
        <w:t>,</w:t>
      </w:r>
      <w:r>
        <w:rPr>
          <w:rFonts w:ascii="Arial" w:hAnsi="Arial" w:cs="Arial"/>
          <w:bCs/>
          <w:sz w:val="24"/>
        </w:rPr>
        <w:t xml:space="preserve"> i</w:t>
      </w:r>
      <w:r w:rsidRPr="007C63D2">
        <w:rPr>
          <w:rFonts w:ascii="Arial" w:hAnsi="Arial" w:cs="Arial"/>
          <w:bCs/>
          <w:sz w:val="24"/>
        </w:rPr>
        <w:t>n-situ visits</w:t>
      </w:r>
      <w:r>
        <w:rPr>
          <w:rFonts w:ascii="Arial" w:hAnsi="Arial" w:cs="Arial"/>
          <w:bCs/>
          <w:sz w:val="24"/>
        </w:rPr>
        <w:t xml:space="preserve"> will t</w:t>
      </w:r>
      <w:r w:rsidRPr="007C63D2">
        <w:rPr>
          <w:rFonts w:ascii="Arial" w:hAnsi="Arial" w:cs="Arial"/>
          <w:bCs/>
          <w:sz w:val="24"/>
        </w:rPr>
        <w:t>ake place for special schools</w:t>
      </w:r>
      <w:r w:rsidR="00310C9D">
        <w:rPr>
          <w:rFonts w:ascii="Arial" w:hAnsi="Arial" w:cs="Arial"/>
          <w:bCs/>
          <w:sz w:val="24"/>
        </w:rPr>
        <w:t>, Specialist Units</w:t>
      </w:r>
      <w:r w:rsidRPr="007C63D2">
        <w:rPr>
          <w:rFonts w:ascii="Arial" w:hAnsi="Arial" w:cs="Arial"/>
          <w:bCs/>
          <w:sz w:val="24"/>
        </w:rPr>
        <w:t xml:space="preserve"> and FE providers where there are </w:t>
      </w:r>
      <w:proofErr w:type="gramStart"/>
      <w:r w:rsidRPr="007C63D2">
        <w:rPr>
          <w:rFonts w:ascii="Arial" w:hAnsi="Arial" w:cs="Arial"/>
          <w:bCs/>
          <w:sz w:val="24"/>
        </w:rPr>
        <w:t>a number of</w:t>
      </w:r>
      <w:proofErr w:type="gramEnd"/>
      <w:r w:rsidRPr="007C63D2">
        <w:rPr>
          <w:rFonts w:ascii="Arial" w:hAnsi="Arial" w:cs="Arial"/>
          <w:bCs/>
          <w:sz w:val="24"/>
        </w:rPr>
        <w:t xml:space="preserve"> </w:t>
      </w:r>
      <w:r w:rsidR="00310C9D">
        <w:rPr>
          <w:rFonts w:ascii="Arial" w:hAnsi="Arial" w:cs="Arial"/>
          <w:bCs/>
          <w:sz w:val="24"/>
        </w:rPr>
        <w:t>CYP</w:t>
      </w:r>
      <w:r w:rsidRPr="007C63D2">
        <w:rPr>
          <w:rFonts w:ascii="Arial" w:hAnsi="Arial" w:cs="Arial"/>
          <w:bCs/>
          <w:sz w:val="24"/>
        </w:rPr>
        <w:t xml:space="preserve"> with complex needs accessing specialist learning programmes. The visits allow professional dialogue via peer moderation to establish accuracy and equity across the </w:t>
      </w:r>
      <w:r>
        <w:rPr>
          <w:rFonts w:ascii="Arial" w:hAnsi="Arial" w:cs="Arial"/>
          <w:bCs/>
          <w:sz w:val="24"/>
        </w:rPr>
        <w:t>provider</w:t>
      </w:r>
      <w:r w:rsidRPr="007C63D2">
        <w:rPr>
          <w:rFonts w:ascii="Arial" w:hAnsi="Arial" w:cs="Arial"/>
          <w:bCs/>
          <w:sz w:val="24"/>
        </w:rPr>
        <w:t>s. L</w:t>
      </w:r>
      <w:r w:rsidR="00A7167A">
        <w:rPr>
          <w:rFonts w:ascii="Arial" w:hAnsi="Arial" w:cs="Arial"/>
          <w:bCs/>
          <w:sz w:val="24"/>
        </w:rPr>
        <w:t>ocal Authority (L</w:t>
      </w:r>
      <w:r w:rsidRPr="007C63D2">
        <w:rPr>
          <w:rFonts w:ascii="Arial" w:hAnsi="Arial" w:cs="Arial"/>
          <w:bCs/>
          <w:sz w:val="24"/>
        </w:rPr>
        <w:t>A</w:t>
      </w:r>
      <w:r w:rsidR="00A7167A">
        <w:rPr>
          <w:rFonts w:ascii="Arial" w:hAnsi="Arial" w:cs="Arial"/>
          <w:bCs/>
          <w:sz w:val="24"/>
        </w:rPr>
        <w:t>)</w:t>
      </w:r>
      <w:r w:rsidRPr="007C63D2">
        <w:rPr>
          <w:rFonts w:ascii="Arial" w:hAnsi="Arial" w:cs="Arial"/>
          <w:bCs/>
          <w:sz w:val="24"/>
        </w:rPr>
        <w:t xml:space="preserve"> officers lead the visits and are supported by colleagues </w:t>
      </w:r>
      <w:r w:rsidR="00501E27">
        <w:rPr>
          <w:rFonts w:ascii="Arial" w:hAnsi="Arial" w:cs="Arial"/>
          <w:bCs/>
          <w:sz w:val="24"/>
        </w:rPr>
        <w:t>from</w:t>
      </w:r>
      <w:r w:rsidR="00501E27" w:rsidRPr="007C63D2">
        <w:rPr>
          <w:rFonts w:ascii="Arial" w:hAnsi="Arial" w:cs="Arial"/>
          <w:bCs/>
          <w:sz w:val="24"/>
        </w:rPr>
        <w:t xml:space="preserve"> </w:t>
      </w:r>
      <w:r w:rsidRPr="007C63D2">
        <w:rPr>
          <w:rFonts w:ascii="Arial" w:hAnsi="Arial" w:cs="Arial"/>
          <w:bCs/>
          <w:sz w:val="24"/>
        </w:rPr>
        <w:t xml:space="preserve">mainstream </w:t>
      </w:r>
      <w:r w:rsidR="002738D6">
        <w:rPr>
          <w:rFonts w:ascii="Arial" w:hAnsi="Arial" w:cs="Arial"/>
          <w:bCs/>
          <w:sz w:val="24"/>
        </w:rPr>
        <w:t>provisions</w:t>
      </w:r>
      <w:r w:rsidRPr="007C63D2">
        <w:rPr>
          <w:rFonts w:ascii="Arial" w:hAnsi="Arial" w:cs="Arial"/>
          <w:bCs/>
          <w:sz w:val="24"/>
        </w:rPr>
        <w:t xml:space="preserve"> to enable a joint view of the universal bandings and the level of need matched to each of the bands. Evidence is scrutinised in-situ and the level of need is agreed. Further evidence is requested where an agreement cannot be reached.</w:t>
      </w:r>
      <w:r w:rsidR="008C15B2">
        <w:rPr>
          <w:rFonts w:ascii="Arial" w:hAnsi="Arial" w:cs="Arial"/>
          <w:bCs/>
          <w:sz w:val="24"/>
        </w:rPr>
        <w:t xml:space="preserve">  </w:t>
      </w:r>
    </w:p>
    <w:p w14:paraId="541CCAD7" w14:textId="77777777" w:rsidR="003C4616" w:rsidRPr="000A6B50" w:rsidRDefault="003C4616" w:rsidP="000A6B50">
      <w:pPr>
        <w:autoSpaceDE w:val="0"/>
        <w:autoSpaceDN w:val="0"/>
        <w:adjustRightInd w:val="0"/>
        <w:spacing w:after="0" w:line="240" w:lineRule="auto"/>
        <w:rPr>
          <w:rFonts w:ascii="Arial" w:hAnsi="Arial" w:cs="Arial"/>
          <w:sz w:val="24"/>
          <w:szCs w:val="24"/>
        </w:rPr>
      </w:pPr>
    </w:p>
    <w:p w14:paraId="6F9E8DA4" w14:textId="587E9F7D" w:rsidR="003C4616" w:rsidRPr="003F7EF3" w:rsidRDefault="00501E27" w:rsidP="003F7EF3">
      <w:pPr>
        <w:pStyle w:val="Heading2"/>
        <w:rPr>
          <w:rFonts w:ascii="Arial" w:hAnsi="Arial" w:cs="Arial"/>
        </w:rPr>
      </w:pPr>
      <w:r w:rsidRPr="003F7EF3">
        <w:rPr>
          <w:rFonts w:ascii="Arial" w:hAnsi="Arial" w:cs="Arial"/>
          <w:color w:val="auto"/>
        </w:rPr>
        <w:t xml:space="preserve">Applications for </w:t>
      </w:r>
      <w:r w:rsidR="003C4616" w:rsidRPr="003F7EF3">
        <w:rPr>
          <w:rFonts w:ascii="Arial" w:hAnsi="Arial" w:cs="Arial"/>
          <w:color w:val="auto"/>
        </w:rPr>
        <w:t>Band Is</w:t>
      </w:r>
      <w:r w:rsidRPr="003F7EF3">
        <w:rPr>
          <w:rFonts w:ascii="Arial" w:hAnsi="Arial" w:cs="Arial"/>
          <w:color w:val="auto"/>
        </w:rPr>
        <w:t xml:space="preserve"> Funding</w:t>
      </w:r>
    </w:p>
    <w:p w14:paraId="30ACD03A" w14:textId="77777777" w:rsidR="007147FB" w:rsidRDefault="007147FB" w:rsidP="002C527D">
      <w:pPr>
        <w:autoSpaceDE w:val="0"/>
        <w:autoSpaceDN w:val="0"/>
        <w:adjustRightInd w:val="0"/>
        <w:spacing w:after="0" w:line="240" w:lineRule="auto"/>
        <w:rPr>
          <w:rFonts w:ascii="Arial" w:hAnsi="Arial" w:cs="Arial"/>
          <w:b/>
          <w:bCs/>
          <w:sz w:val="24"/>
          <w:szCs w:val="24"/>
        </w:rPr>
      </w:pPr>
    </w:p>
    <w:p w14:paraId="70BD2074" w14:textId="321AF896" w:rsidR="00EC6873" w:rsidRPr="00AA083F" w:rsidRDefault="00D85797" w:rsidP="00815D1B">
      <w:pPr>
        <w:autoSpaceDE w:val="0"/>
        <w:autoSpaceDN w:val="0"/>
        <w:adjustRightInd w:val="0"/>
        <w:spacing w:after="0" w:line="240" w:lineRule="auto"/>
        <w:ind w:left="720"/>
        <w:rPr>
          <w:rFonts w:ascii="Arial" w:hAnsi="Arial" w:cs="Arial"/>
          <w:sz w:val="24"/>
          <w:szCs w:val="24"/>
        </w:rPr>
      </w:pPr>
      <w:r w:rsidRPr="00D85797">
        <w:rPr>
          <w:rFonts w:ascii="Arial" w:hAnsi="Arial" w:cs="Arial"/>
          <w:sz w:val="24"/>
          <w:szCs w:val="24"/>
        </w:rPr>
        <w:t>Individual</w:t>
      </w:r>
      <w:r w:rsidR="00501E27">
        <w:rPr>
          <w:rFonts w:ascii="Arial" w:hAnsi="Arial" w:cs="Arial"/>
          <w:sz w:val="24"/>
          <w:szCs w:val="24"/>
        </w:rPr>
        <w:t xml:space="preserve"> pupils with the most complex needs whose additional </w:t>
      </w:r>
      <w:proofErr w:type="gramStart"/>
      <w:r w:rsidR="00501E27">
        <w:rPr>
          <w:rFonts w:ascii="Arial" w:hAnsi="Arial" w:cs="Arial"/>
          <w:sz w:val="24"/>
          <w:szCs w:val="24"/>
        </w:rPr>
        <w:t xml:space="preserve">support </w:t>
      </w:r>
      <w:r w:rsidRPr="00D85797">
        <w:rPr>
          <w:rFonts w:ascii="Arial" w:hAnsi="Arial" w:cs="Arial"/>
          <w:sz w:val="24"/>
          <w:szCs w:val="24"/>
        </w:rPr>
        <w:t xml:space="preserve"> require</w:t>
      </w:r>
      <w:r w:rsidR="00501E27">
        <w:rPr>
          <w:rFonts w:ascii="Arial" w:hAnsi="Arial" w:cs="Arial"/>
          <w:sz w:val="24"/>
          <w:szCs w:val="24"/>
        </w:rPr>
        <w:t>s</w:t>
      </w:r>
      <w:proofErr w:type="gramEnd"/>
      <w:r w:rsidRPr="00D85797">
        <w:rPr>
          <w:rFonts w:ascii="Arial" w:hAnsi="Arial" w:cs="Arial"/>
          <w:sz w:val="24"/>
          <w:szCs w:val="24"/>
        </w:rPr>
        <w:t xml:space="preserve"> in excess of £22,000</w:t>
      </w:r>
      <w:r>
        <w:rPr>
          <w:rFonts w:ascii="Arial" w:hAnsi="Arial" w:cs="Arial"/>
          <w:sz w:val="24"/>
          <w:szCs w:val="24"/>
        </w:rPr>
        <w:t xml:space="preserve"> (£6,000 Additional Support plus £16,000 Top-Up)</w:t>
      </w:r>
      <w:r w:rsidRPr="00D85797">
        <w:rPr>
          <w:rFonts w:ascii="Arial" w:hAnsi="Arial" w:cs="Arial"/>
          <w:sz w:val="24"/>
          <w:szCs w:val="24"/>
        </w:rPr>
        <w:t xml:space="preserve"> of support are</w:t>
      </w:r>
      <w:r w:rsidR="00A7167A">
        <w:rPr>
          <w:rFonts w:ascii="Arial" w:hAnsi="Arial" w:cs="Arial"/>
          <w:sz w:val="24"/>
          <w:szCs w:val="24"/>
        </w:rPr>
        <w:t xml:space="preserve"> </w:t>
      </w:r>
      <w:r w:rsidR="00501E27">
        <w:rPr>
          <w:rFonts w:ascii="Arial" w:hAnsi="Arial" w:cs="Arial"/>
          <w:sz w:val="24"/>
          <w:szCs w:val="24"/>
        </w:rPr>
        <w:t xml:space="preserve">put forward for funding at </w:t>
      </w:r>
      <w:r w:rsidR="00A7167A">
        <w:rPr>
          <w:rFonts w:ascii="Arial" w:hAnsi="Arial" w:cs="Arial"/>
          <w:sz w:val="24"/>
          <w:szCs w:val="24"/>
        </w:rPr>
        <w:t xml:space="preserve"> Band I </w:t>
      </w:r>
      <w:r w:rsidR="00501E27">
        <w:rPr>
          <w:rFonts w:ascii="Arial" w:hAnsi="Arial" w:cs="Arial"/>
          <w:sz w:val="24"/>
          <w:szCs w:val="24"/>
        </w:rPr>
        <w:t xml:space="preserve">level </w:t>
      </w:r>
      <w:r w:rsidR="00A7167A">
        <w:rPr>
          <w:rFonts w:ascii="Arial" w:hAnsi="Arial" w:cs="Arial"/>
          <w:sz w:val="24"/>
          <w:szCs w:val="24"/>
        </w:rPr>
        <w:t>and are</w:t>
      </w:r>
      <w:r w:rsidRPr="00D85797">
        <w:rPr>
          <w:rFonts w:ascii="Arial" w:hAnsi="Arial" w:cs="Arial"/>
          <w:sz w:val="24"/>
          <w:szCs w:val="24"/>
        </w:rPr>
        <w:t xml:space="preserve"> subject to an additional </w:t>
      </w:r>
      <w:r w:rsidR="00815D1B">
        <w:rPr>
          <w:rFonts w:ascii="Arial" w:hAnsi="Arial" w:cs="Arial"/>
          <w:sz w:val="24"/>
          <w:szCs w:val="24"/>
        </w:rPr>
        <w:t xml:space="preserve">moderation process.  Evidence, as outlined above, will be requested for any Band I </w:t>
      </w:r>
      <w:proofErr w:type="gramStart"/>
      <w:r w:rsidR="00815D1B">
        <w:rPr>
          <w:rFonts w:ascii="Arial" w:hAnsi="Arial" w:cs="Arial"/>
          <w:sz w:val="24"/>
          <w:szCs w:val="24"/>
        </w:rPr>
        <w:t>requests</w:t>
      </w:r>
      <w:proofErr w:type="gramEnd"/>
      <w:r w:rsidR="00815D1B">
        <w:rPr>
          <w:rFonts w:ascii="Arial" w:hAnsi="Arial" w:cs="Arial"/>
          <w:sz w:val="24"/>
          <w:szCs w:val="24"/>
        </w:rPr>
        <w:t xml:space="preserve"> and a panel of SEND </w:t>
      </w:r>
      <w:r w:rsidR="000D4379">
        <w:rPr>
          <w:rFonts w:ascii="Arial" w:hAnsi="Arial" w:cs="Arial"/>
          <w:sz w:val="24"/>
          <w:szCs w:val="24"/>
        </w:rPr>
        <w:t>specialists</w:t>
      </w:r>
      <w:r w:rsidR="00501E27">
        <w:rPr>
          <w:rFonts w:ascii="Arial" w:hAnsi="Arial" w:cs="Arial"/>
          <w:sz w:val="24"/>
          <w:szCs w:val="24"/>
        </w:rPr>
        <w:t xml:space="preserve"> </w:t>
      </w:r>
      <w:r w:rsidR="00815D1B">
        <w:rPr>
          <w:rFonts w:ascii="Arial" w:hAnsi="Arial" w:cs="Arial"/>
          <w:sz w:val="24"/>
          <w:szCs w:val="24"/>
        </w:rPr>
        <w:t>will meet with the provider to discuss the level of support required.</w:t>
      </w:r>
    </w:p>
    <w:p w14:paraId="2292E4C0" w14:textId="77777777" w:rsidR="00EC6873" w:rsidRPr="00AA083F" w:rsidRDefault="00EC6873" w:rsidP="00815D1B">
      <w:pPr>
        <w:rPr>
          <w:rFonts w:ascii="Arial" w:hAnsi="Arial" w:cs="Arial"/>
          <w:sz w:val="24"/>
          <w:szCs w:val="24"/>
        </w:rPr>
      </w:pPr>
    </w:p>
    <w:p w14:paraId="785E4EB9" w14:textId="0D4E7E48" w:rsidR="00785AAD" w:rsidRPr="003F7EF3" w:rsidRDefault="001A3239" w:rsidP="003F7EF3">
      <w:pPr>
        <w:pStyle w:val="Heading2"/>
        <w:numPr>
          <w:ilvl w:val="0"/>
          <w:numId w:val="14"/>
        </w:numPr>
        <w:rPr>
          <w:rFonts w:ascii="Arial" w:hAnsi="Arial" w:cs="Arial"/>
        </w:rPr>
      </w:pPr>
      <w:r w:rsidRPr="003F7EF3">
        <w:rPr>
          <w:rFonts w:ascii="Arial" w:hAnsi="Arial" w:cs="Arial"/>
          <w:color w:val="auto"/>
        </w:rPr>
        <w:t xml:space="preserve">Special Schools and </w:t>
      </w:r>
      <w:r w:rsidR="008C15B2" w:rsidRPr="003F7EF3">
        <w:rPr>
          <w:rFonts w:ascii="Arial" w:hAnsi="Arial" w:cs="Arial"/>
          <w:color w:val="auto"/>
        </w:rPr>
        <w:t>PRUs</w:t>
      </w:r>
    </w:p>
    <w:p w14:paraId="54FEF928" w14:textId="77777777" w:rsidR="001A3239" w:rsidRPr="00AA083F" w:rsidRDefault="001A3239" w:rsidP="001A3239">
      <w:pPr>
        <w:autoSpaceDE w:val="0"/>
        <w:autoSpaceDN w:val="0"/>
        <w:adjustRightInd w:val="0"/>
        <w:spacing w:after="0" w:line="240" w:lineRule="auto"/>
        <w:ind w:left="720"/>
        <w:rPr>
          <w:rFonts w:ascii="Arial" w:hAnsi="Arial" w:cs="Arial"/>
          <w:sz w:val="24"/>
          <w:szCs w:val="24"/>
        </w:rPr>
      </w:pPr>
    </w:p>
    <w:p w14:paraId="54A94760" w14:textId="132DDEE3" w:rsidR="001A3239" w:rsidRPr="00AA083F" w:rsidRDefault="00B0662B" w:rsidP="001A3239">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Funding for Special Schools and PRU</w:t>
      </w:r>
      <w:r w:rsidR="002738D6">
        <w:rPr>
          <w:rFonts w:ascii="Arial" w:hAnsi="Arial" w:cs="Arial"/>
          <w:sz w:val="24"/>
          <w:szCs w:val="24"/>
        </w:rPr>
        <w:t>s</w:t>
      </w:r>
      <w:r>
        <w:rPr>
          <w:rFonts w:ascii="Arial" w:hAnsi="Arial" w:cs="Arial"/>
          <w:sz w:val="24"/>
          <w:szCs w:val="24"/>
        </w:rPr>
        <w:t xml:space="preserve"> is</w:t>
      </w:r>
      <w:r w:rsidR="001A3239" w:rsidRPr="00AA083F">
        <w:rPr>
          <w:rFonts w:ascii="Arial" w:hAnsi="Arial" w:cs="Arial"/>
          <w:sz w:val="24"/>
          <w:szCs w:val="24"/>
        </w:rPr>
        <w:t xml:space="preserve"> based </w:t>
      </w:r>
      <w:r w:rsidR="007B1D15" w:rsidRPr="00AA083F">
        <w:rPr>
          <w:rFonts w:ascii="Arial" w:hAnsi="Arial" w:cs="Arial"/>
          <w:sz w:val="24"/>
          <w:szCs w:val="24"/>
        </w:rPr>
        <w:t>o</w:t>
      </w:r>
      <w:r w:rsidR="001A3239" w:rsidRPr="00AA083F">
        <w:rPr>
          <w:rFonts w:ascii="Arial" w:hAnsi="Arial" w:cs="Arial"/>
          <w:sz w:val="24"/>
          <w:szCs w:val="24"/>
        </w:rPr>
        <w:t xml:space="preserve">n a lagged system where the number of FTE </w:t>
      </w:r>
      <w:r w:rsidR="00EC6873" w:rsidRPr="00AA083F">
        <w:rPr>
          <w:rFonts w:ascii="Arial" w:hAnsi="Arial" w:cs="Arial"/>
          <w:sz w:val="24"/>
          <w:szCs w:val="24"/>
        </w:rPr>
        <w:t>places</w:t>
      </w:r>
      <w:r w:rsidR="001A3239" w:rsidRPr="00AA083F">
        <w:rPr>
          <w:rFonts w:ascii="Arial" w:hAnsi="Arial" w:cs="Arial"/>
          <w:sz w:val="24"/>
          <w:szCs w:val="24"/>
        </w:rPr>
        <w:t xml:space="preserve"> funded in year 2 will be based on the number of actual places filled in year 1.  </w:t>
      </w:r>
      <w:proofErr w:type="gramStart"/>
      <w:r w:rsidR="008C15B2">
        <w:rPr>
          <w:rFonts w:ascii="Arial" w:hAnsi="Arial" w:cs="Arial"/>
          <w:sz w:val="24"/>
          <w:szCs w:val="24"/>
        </w:rPr>
        <w:t>Therefore</w:t>
      </w:r>
      <w:proofErr w:type="gramEnd"/>
      <w:r w:rsidR="008C15B2">
        <w:rPr>
          <w:rFonts w:ascii="Arial" w:hAnsi="Arial" w:cs="Arial"/>
          <w:sz w:val="24"/>
          <w:szCs w:val="24"/>
        </w:rPr>
        <w:t xml:space="preserve"> if the number of pupils attending the provision exceeds the number of commissioned places in year one, the commissioned number will be increased for year 2.  This will be supported by an annual conversation between the provider and SCC regarding place numbers.  </w:t>
      </w:r>
      <w:r w:rsidR="001A3239" w:rsidRPr="00AA083F">
        <w:rPr>
          <w:rFonts w:ascii="Arial" w:hAnsi="Arial" w:cs="Arial"/>
          <w:sz w:val="24"/>
          <w:szCs w:val="24"/>
        </w:rPr>
        <w:t xml:space="preserve">An annual </w:t>
      </w:r>
      <w:r>
        <w:rPr>
          <w:rFonts w:ascii="Arial" w:hAnsi="Arial" w:cs="Arial"/>
          <w:sz w:val="24"/>
          <w:szCs w:val="24"/>
        </w:rPr>
        <w:t xml:space="preserve">service level </w:t>
      </w:r>
      <w:r w:rsidR="001A3239" w:rsidRPr="00AA083F">
        <w:rPr>
          <w:rFonts w:ascii="Arial" w:hAnsi="Arial" w:cs="Arial"/>
          <w:sz w:val="24"/>
          <w:szCs w:val="24"/>
        </w:rPr>
        <w:t xml:space="preserve">agreement </w:t>
      </w:r>
      <w:r>
        <w:rPr>
          <w:rFonts w:ascii="Arial" w:hAnsi="Arial" w:cs="Arial"/>
          <w:sz w:val="24"/>
          <w:szCs w:val="24"/>
        </w:rPr>
        <w:t xml:space="preserve">is </w:t>
      </w:r>
      <w:r w:rsidR="001A3239" w:rsidRPr="00AA083F">
        <w:rPr>
          <w:rFonts w:ascii="Arial" w:hAnsi="Arial" w:cs="Arial"/>
          <w:sz w:val="24"/>
          <w:szCs w:val="24"/>
        </w:rPr>
        <w:t>in place between SCC and each provider t</w:t>
      </w:r>
      <w:r w:rsidR="00AA083F" w:rsidRPr="00AA083F">
        <w:rPr>
          <w:rFonts w:ascii="Arial" w:hAnsi="Arial" w:cs="Arial"/>
          <w:sz w:val="24"/>
          <w:szCs w:val="24"/>
        </w:rPr>
        <w:t>o</w:t>
      </w:r>
      <w:r w:rsidR="001A3239" w:rsidRPr="00AA083F">
        <w:rPr>
          <w:rFonts w:ascii="Arial" w:hAnsi="Arial" w:cs="Arial"/>
          <w:sz w:val="24"/>
          <w:szCs w:val="24"/>
        </w:rPr>
        <w:t xml:space="preserve"> allow exceptions to be made in the case of exceptional growth or shrinkage.  This will be defined as plus or minus </w:t>
      </w:r>
      <w:r w:rsidR="00B1271E">
        <w:rPr>
          <w:rFonts w:ascii="Arial" w:hAnsi="Arial" w:cs="Arial"/>
          <w:sz w:val="24"/>
          <w:szCs w:val="24"/>
        </w:rPr>
        <w:t>5</w:t>
      </w:r>
      <w:r w:rsidR="001A3239" w:rsidRPr="00AA083F">
        <w:rPr>
          <w:rFonts w:ascii="Arial" w:hAnsi="Arial" w:cs="Arial"/>
          <w:sz w:val="24"/>
          <w:szCs w:val="24"/>
        </w:rPr>
        <w:t>% of the provider’s cohort.</w:t>
      </w:r>
      <w:r w:rsidR="00D2603A">
        <w:rPr>
          <w:rFonts w:ascii="Arial" w:hAnsi="Arial" w:cs="Arial"/>
          <w:sz w:val="24"/>
          <w:szCs w:val="24"/>
        </w:rPr>
        <w:t xml:space="preserve">  For PRUs, we acknowledge that at points throughout the year numbers will drop below 5% due to the transient nature of this cohort</w:t>
      </w:r>
      <w:r w:rsidR="00CC20CD">
        <w:rPr>
          <w:rFonts w:ascii="Arial" w:hAnsi="Arial" w:cs="Arial"/>
          <w:sz w:val="24"/>
          <w:szCs w:val="24"/>
        </w:rPr>
        <w:t xml:space="preserve">. </w:t>
      </w:r>
      <w:proofErr w:type="gramStart"/>
      <w:r w:rsidR="00CC20CD">
        <w:rPr>
          <w:rFonts w:ascii="Arial" w:hAnsi="Arial" w:cs="Arial"/>
          <w:sz w:val="24"/>
          <w:szCs w:val="24"/>
        </w:rPr>
        <w:t>T</w:t>
      </w:r>
      <w:r w:rsidR="008C15B2">
        <w:rPr>
          <w:rFonts w:ascii="Arial" w:hAnsi="Arial" w:cs="Arial"/>
          <w:sz w:val="24"/>
          <w:szCs w:val="24"/>
        </w:rPr>
        <w:t>herefore</w:t>
      </w:r>
      <w:proofErr w:type="gramEnd"/>
      <w:r w:rsidR="008C15B2">
        <w:rPr>
          <w:rFonts w:ascii="Arial" w:hAnsi="Arial" w:cs="Arial"/>
          <w:sz w:val="24"/>
          <w:szCs w:val="24"/>
        </w:rPr>
        <w:t xml:space="preserve"> numbers will not be reduced </w:t>
      </w:r>
      <w:r w:rsidR="00CC20CD">
        <w:rPr>
          <w:rFonts w:ascii="Arial" w:hAnsi="Arial" w:cs="Arial"/>
          <w:sz w:val="24"/>
          <w:szCs w:val="24"/>
        </w:rPr>
        <w:t>outside of the annual conversation, taking into consideration a full years provision.</w:t>
      </w:r>
    </w:p>
    <w:p w14:paraId="7D241187" w14:textId="77777777" w:rsidR="001A3239" w:rsidRPr="00AA083F" w:rsidRDefault="001A3239" w:rsidP="001A3239">
      <w:pPr>
        <w:autoSpaceDE w:val="0"/>
        <w:autoSpaceDN w:val="0"/>
        <w:adjustRightInd w:val="0"/>
        <w:spacing w:after="0" w:line="240" w:lineRule="auto"/>
        <w:ind w:left="720"/>
        <w:rPr>
          <w:rFonts w:ascii="Arial" w:hAnsi="Arial" w:cs="Arial"/>
          <w:color w:val="FF0000"/>
          <w:sz w:val="24"/>
          <w:szCs w:val="24"/>
        </w:rPr>
      </w:pPr>
    </w:p>
    <w:p w14:paraId="6BC15835" w14:textId="5188455C" w:rsidR="00465A23" w:rsidRPr="00AA083F" w:rsidRDefault="001A3239" w:rsidP="00465A23">
      <w:pPr>
        <w:autoSpaceDE w:val="0"/>
        <w:autoSpaceDN w:val="0"/>
        <w:adjustRightInd w:val="0"/>
        <w:spacing w:after="0" w:line="240" w:lineRule="auto"/>
        <w:ind w:left="720"/>
        <w:rPr>
          <w:rFonts w:ascii="Arial" w:hAnsi="Arial" w:cs="Arial"/>
          <w:sz w:val="24"/>
          <w:szCs w:val="24"/>
        </w:rPr>
      </w:pPr>
      <w:r w:rsidRPr="00AA083F">
        <w:rPr>
          <w:rFonts w:ascii="Arial" w:hAnsi="Arial" w:cs="Arial"/>
          <w:sz w:val="24"/>
          <w:szCs w:val="24"/>
        </w:rPr>
        <w:t>Where providers have reached the total commissioned place</w:t>
      </w:r>
      <w:r w:rsidR="007D6534">
        <w:rPr>
          <w:rFonts w:ascii="Arial" w:hAnsi="Arial" w:cs="Arial"/>
          <w:sz w:val="24"/>
          <w:szCs w:val="24"/>
        </w:rPr>
        <w:t>s</w:t>
      </w:r>
      <w:r w:rsidRPr="00AA083F">
        <w:rPr>
          <w:rFonts w:ascii="Arial" w:hAnsi="Arial" w:cs="Arial"/>
          <w:sz w:val="24"/>
          <w:szCs w:val="24"/>
        </w:rPr>
        <w:t xml:space="preserve"> for the year but are required to take pupils </w:t>
      </w:r>
      <w:proofErr w:type="gramStart"/>
      <w:r w:rsidRPr="00AA083F">
        <w:rPr>
          <w:rFonts w:ascii="Arial" w:hAnsi="Arial" w:cs="Arial"/>
          <w:sz w:val="24"/>
          <w:szCs w:val="24"/>
        </w:rPr>
        <w:t xml:space="preserve">in </w:t>
      </w:r>
      <w:r w:rsidR="00465A23" w:rsidRPr="00AA083F">
        <w:rPr>
          <w:rFonts w:ascii="Arial" w:hAnsi="Arial" w:cs="Arial"/>
          <w:sz w:val="24"/>
          <w:szCs w:val="24"/>
        </w:rPr>
        <w:t>excess of</w:t>
      </w:r>
      <w:proofErr w:type="gramEnd"/>
      <w:r w:rsidR="00465A23" w:rsidRPr="00AA083F">
        <w:rPr>
          <w:rFonts w:ascii="Arial" w:hAnsi="Arial" w:cs="Arial"/>
          <w:sz w:val="24"/>
          <w:szCs w:val="24"/>
        </w:rPr>
        <w:t xml:space="preserve"> their place numbers (having been named in an EHCP as the most suitable provider)</w:t>
      </w:r>
      <w:r w:rsidR="007D6534">
        <w:rPr>
          <w:rFonts w:ascii="Arial" w:hAnsi="Arial" w:cs="Arial"/>
          <w:sz w:val="24"/>
          <w:szCs w:val="24"/>
        </w:rPr>
        <w:t xml:space="preserve">, </w:t>
      </w:r>
      <w:r w:rsidR="00465A23" w:rsidRPr="00AA083F">
        <w:rPr>
          <w:rFonts w:ascii="Arial" w:hAnsi="Arial" w:cs="Arial"/>
          <w:sz w:val="24"/>
          <w:szCs w:val="24"/>
        </w:rPr>
        <w:t>they will be paid the top</w:t>
      </w:r>
      <w:r w:rsidR="0062073A">
        <w:rPr>
          <w:rFonts w:ascii="Arial" w:hAnsi="Arial" w:cs="Arial"/>
          <w:sz w:val="24"/>
          <w:szCs w:val="24"/>
        </w:rPr>
        <w:t>-</w:t>
      </w:r>
      <w:r w:rsidR="00465A23" w:rsidRPr="00AA083F">
        <w:rPr>
          <w:rFonts w:ascii="Arial" w:hAnsi="Arial" w:cs="Arial"/>
          <w:sz w:val="24"/>
          <w:szCs w:val="24"/>
        </w:rPr>
        <w:t xml:space="preserve">up rate associated with the high need band identified in the EHCP or through the </w:t>
      </w:r>
      <w:r w:rsidR="00CC20CD">
        <w:rPr>
          <w:rFonts w:ascii="Arial" w:hAnsi="Arial" w:cs="Arial"/>
          <w:sz w:val="24"/>
          <w:szCs w:val="24"/>
        </w:rPr>
        <w:t xml:space="preserve">moderation </w:t>
      </w:r>
      <w:r w:rsidR="00465A23" w:rsidRPr="00AA083F">
        <w:rPr>
          <w:rFonts w:ascii="Arial" w:hAnsi="Arial" w:cs="Arial"/>
          <w:sz w:val="24"/>
          <w:szCs w:val="24"/>
        </w:rPr>
        <w:t>process.</w:t>
      </w:r>
    </w:p>
    <w:p w14:paraId="7361E64E" w14:textId="77777777" w:rsidR="00465A23" w:rsidRPr="00AA083F" w:rsidRDefault="00465A23" w:rsidP="00465A23">
      <w:pPr>
        <w:autoSpaceDE w:val="0"/>
        <w:autoSpaceDN w:val="0"/>
        <w:adjustRightInd w:val="0"/>
        <w:spacing w:after="0" w:line="240" w:lineRule="auto"/>
        <w:ind w:left="720"/>
        <w:rPr>
          <w:rFonts w:ascii="Arial" w:hAnsi="Arial" w:cs="Arial"/>
          <w:sz w:val="24"/>
          <w:szCs w:val="24"/>
        </w:rPr>
      </w:pPr>
    </w:p>
    <w:p w14:paraId="0DCD44B0" w14:textId="77777777" w:rsidR="00347C3E" w:rsidRDefault="00B0662B" w:rsidP="00465A2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PRUs and AP are allocate</w:t>
      </w:r>
      <w:r w:rsidR="00347C3E">
        <w:rPr>
          <w:rFonts w:ascii="Arial" w:hAnsi="Arial" w:cs="Arial"/>
          <w:sz w:val="24"/>
          <w:szCs w:val="24"/>
        </w:rPr>
        <w:t>d</w:t>
      </w:r>
      <w:r>
        <w:rPr>
          <w:rFonts w:ascii="Arial" w:hAnsi="Arial" w:cs="Arial"/>
          <w:sz w:val="24"/>
          <w:szCs w:val="24"/>
        </w:rPr>
        <w:t xml:space="preserve"> a banding profile based on a typical cohort of </w:t>
      </w:r>
    </w:p>
    <w:p w14:paraId="16D0BB47" w14:textId="77777777" w:rsidR="00347C3E" w:rsidRDefault="00347C3E" w:rsidP="00465A2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lastRenderedPageBreak/>
        <w:t xml:space="preserve">attendees rather than on individual children.  This is due to the nature of the </w:t>
      </w:r>
    </w:p>
    <w:p w14:paraId="60AD5421" w14:textId="77777777" w:rsidR="00347C3E" w:rsidRDefault="00347C3E" w:rsidP="00347C3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provision and the high </w:t>
      </w:r>
      <w:r w:rsidR="004C37C0">
        <w:rPr>
          <w:rFonts w:ascii="Arial" w:hAnsi="Arial" w:cs="Arial"/>
          <w:sz w:val="24"/>
          <w:szCs w:val="24"/>
        </w:rPr>
        <w:t>turnaround</w:t>
      </w:r>
      <w:r>
        <w:rPr>
          <w:rFonts w:ascii="Arial" w:hAnsi="Arial" w:cs="Arial"/>
          <w:sz w:val="24"/>
          <w:szCs w:val="24"/>
        </w:rPr>
        <w:t xml:space="preserve"> of individuals entering and exiting the </w:t>
      </w:r>
    </w:p>
    <w:p w14:paraId="221F2FD3" w14:textId="34AA5673" w:rsidR="001A3239" w:rsidRPr="00AA083F" w:rsidRDefault="00347C3E" w:rsidP="00C61BF8">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provision.  Therefore, they are funded at 75% Band G and 25% Band H.</w:t>
      </w:r>
    </w:p>
    <w:p w14:paraId="217A789D" w14:textId="77777777" w:rsidR="00785AAD" w:rsidRPr="00AA083F" w:rsidRDefault="00785AAD" w:rsidP="00465A23">
      <w:pPr>
        <w:pStyle w:val="ListParagraph"/>
        <w:autoSpaceDE w:val="0"/>
        <w:autoSpaceDN w:val="0"/>
        <w:adjustRightInd w:val="0"/>
        <w:spacing w:after="0" w:line="240" w:lineRule="auto"/>
        <w:rPr>
          <w:rFonts w:ascii="Arial" w:hAnsi="Arial" w:cs="Arial"/>
          <w:sz w:val="24"/>
          <w:szCs w:val="24"/>
        </w:rPr>
      </w:pPr>
    </w:p>
    <w:p w14:paraId="7271D308" w14:textId="54279113" w:rsidR="00465A23" w:rsidRPr="003F7EF3" w:rsidRDefault="00465A23" w:rsidP="003F7EF3">
      <w:pPr>
        <w:pStyle w:val="Heading2"/>
        <w:numPr>
          <w:ilvl w:val="0"/>
          <w:numId w:val="14"/>
        </w:numPr>
        <w:rPr>
          <w:rFonts w:ascii="Arial" w:hAnsi="Arial" w:cs="Arial"/>
        </w:rPr>
      </w:pPr>
      <w:r w:rsidRPr="003F7EF3">
        <w:rPr>
          <w:rFonts w:ascii="Arial" w:hAnsi="Arial" w:cs="Arial"/>
          <w:color w:val="auto"/>
        </w:rPr>
        <w:t>Dual Placement Funding</w:t>
      </w:r>
      <w:r w:rsidRPr="003F7EF3">
        <w:rPr>
          <w:rFonts w:ascii="Arial" w:hAnsi="Arial" w:cs="Arial"/>
        </w:rPr>
        <w:br/>
      </w:r>
    </w:p>
    <w:p w14:paraId="13B9DC5C" w14:textId="77777777" w:rsidR="00864F42" w:rsidRDefault="00AA6E21" w:rsidP="00A91CE6">
      <w:pPr>
        <w:autoSpaceDE w:val="0"/>
        <w:autoSpaceDN w:val="0"/>
        <w:adjustRightInd w:val="0"/>
        <w:spacing w:after="0" w:line="240" w:lineRule="auto"/>
        <w:ind w:left="709"/>
        <w:rPr>
          <w:rFonts w:ascii="Arial" w:hAnsi="Arial" w:cs="Arial"/>
          <w:sz w:val="24"/>
          <w:szCs w:val="24"/>
        </w:rPr>
      </w:pPr>
      <w:r w:rsidRPr="00AA083F">
        <w:rPr>
          <w:rFonts w:ascii="Arial" w:hAnsi="Arial" w:cs="Arial"/>
          <w:sz w:val="24"/>
          <w:szCs w:val="24"/>
        </w:rPr>
        <w:t>Dual placements arise where a pupil is on roll in two separate schools. This is usually a special school and a mainstream school. Dual placements allow pupils who have a specific set of needs to access more intensive pastoral, specialist support and</w:t>
      </w:r>
      <w:r w:rsidR="007D6534">
        <w:rPr>
          <w:rFonts w:ascii="Arial" w:hAnsi="Arial" w:cs="Arial"/>
          <w:sz w:val="24"/>
          <w:szCs w:val="24"/>
        </w:rPr>
        <w:t xml:space="preserve"> a</w:t>
      </w:r>
      <w:r w:rsidRPr="00AA083F">
        <w:rPr>
          <w:rFonts w:ascii="Arial" w:hAnsi="Arial" w:cs="Arial"/>
          <w:sz w:val="24"/>
          <w:szCs w:val="24"/>
        </w:rPr>
        <w:t xml:space="preserve"> broader more demanding curriculum. They are often used in support of transition arrangements.</w:t>
      </w:r>
    </w:p>
    <w:p w14:paraId="5C47720A" w14:textId="77777777" w:rsidR="004A493D" w:rsidRDefault="004A493D" w:rsidP="00A91CE6">
      <w:pPr>
        <w:autoSpaceDE w:val="0"/>
        <w:autoSpaceDN w:val="0"/>
        <w:adjustRightInd w:val="0"/>
        <w:spacing w:after="0" w:line="240" w:lineRule="auto"/>
        <w:ind w:left="709"/>
        <w:rPr>
          <w:rFonts w:ascii="Arial" w:hAnsi="Arial" w:cs="Arial"/>
          <w:sz w:val="24"/>
          <w:szCs w:val="24"/>
        </w:rPr>
      </w:pPr>
    </w:p>
    <w:p w14:paraId="3BEEC173" w14:textId="3EAAE6FD" w:rsidR="004A493D" w:rsidRDefault="004A493D" w:rsidP="00A91CE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A separate policy is for Dual Placements</w:t>
      </w:r>
      <w:r w:rsidR="004C6B0B">
        <w:rPr>
          <w:rFonts w:ascii="Arial" w:hAnsi="Arial" w:cs="Arial"/>
          <w:sz w:val="24"/>
          <w:szCs w:val="24"/>
        </w:rPr>
        <w:t xml:space="preserve"> is in development</w:t>
      </w:r>
      <w:r w:rsidR="000D4379">
        <w:rPr>
          <w:rFonts w:ascii="Arial" w:hAnsi="Arial" w:cs="Arial"/>
          <w:sz w:val="24"/>
          <w:szCs w:val="24"/>
        </w:rPr>
        <w:t>.</w:t>
      </w:r>
    </w:p>
    <w:p w14:paraId="5ED9C374" w14:textId="77777777" w:rsidR="004A493D" w:rsidRDefault="004A493D" w:rsidP="00A91CE6">
      <w:pPr>
        <w:pStyle w:val="ListParagraph"/>
        <w:rPr>
          <w:rFonts w:ascii="Arial" w:hAnsi="Arial" w:cs="Arial"/>
          <w:sz w:val="24"/>
          <w:szCs w:val="24"/>
        </w:rPr>
      </w:pPr>
    </w:p>
    <w:p w14:paraId="632C23C3" w14:textId="6170E513" w:rsidR="003C4616" w:rsidRPr="003F7EF3" w:rsidRDefault="003C4616" w:rsidP="003F7EF3">
      <w:pPr>
        <w:pStyle w:val="Heading2"/>
        <w:numPr>
          <w:ilvl w:val="0"/>
          <w:numId w:val="14"/>
        </w:numPr>
        <w:rPr>
          <w:rFonts w:ascii="Arial" w:hAnsi="Arial" w:cs="Arial"/>
        </w:rPr>
      </w:pPr>
      <w:bookmarkStart w:id="2" w:name="_Hlk55888261"/>
      <w:r w:rsidRPr="003F7EF3">
        <w:rPr>
          <w:rFonts w:ascii="Arial" w:hAnsi="Arial" w:cs="Arial"/>
          <w:color w:val="auto"/>
        </w:rPr>
        <w:t>Cross Border Placements</w:t>
      </w:r>
    </w:p>
    <w:p w14:paraId="2F64DBE3" w14:textId="77777777" w:rsidR="00EE59A8" w:rsidRPr="00EE59A8" w:rsidRDefault="00EE59A8" w:rsidP="00EE59A8">
      <w:pPr>
        <w:pStyle w:val="ListParagraph"/>
        <w:rPr>
          <w:rFonts w:ascii="Arial" w:hAnsi="Arial" w:cs="Arial"/>
          <w:b/>
          <w:sz w:val="24"/>
        </w:rPr>
      </w:pPr>
    </w:p>
    <w:bookmarkEnd w:id="2"/>
    <w:p w14:paraId="4B546A75" w14:textId="1A819C99" w:rsidR="00EE59A8" w:rsidRDefault="00EE59A8" w:rsidP="00EE59A8">
      <w:pPr>
        <w:pStyle w:val="ListParagraph"/>
        <w:rPr>
          <w:rFonts w:ascii="Arial" w:hAnsi="Arial" w:cs="Arial"/>
          <w:bCs/>
          <w:sz w:val="24"/>
        </w:rPr>
      </w:pPr>
      <w:r w:rsidRPr="00EE59A8">
        <w:rPr>
          <w:rFonts w:ascii="Arial" w:hAnsi="Arial" w:cs="Arial"/>
          <w:bCs/>
          <w:sz w:val="24"/>
        </w:rPr>
        <w:t xml:space="preserve">Where a pupil </w:t>
      </w:r>
      <w:r w:rsidR="00D55377">
        <w:rPr>
          <w:rFonts w:ascii="Arial" w:hAnsi="Arial" w:cs="Arial"/>
          <w:bCs/>
          <w:sz w:val="24"/>
        </w:rPr>
        <w:t xml:space="preserve">has an EHCP and </w:t>
      </w:r>
      <w:r w:rsidRPr="00EE59A8">
        <w:rPr>
          <w:rFonts w:ascii="Arial" w:hAnsi="Arial" w:cs="Arial"/>
          <w:bCs/>
          <w:sz w:val="24"/>
        </w:rPr>
        <w:t xml:space="preserve">lives in one </w:t>
      </w:r>
      <w:proofErr w:type="gramStart"/>
      <w:r w:rsidRPr="00EE59A8">
        <w:rPr>
          <w:rFonts w:ascii="Arial" w:hAnsi="Arial" w:cs="Arial"/>
          <w:bCs/>
          <w:sz w:val="24"/>
        </w:rPr>
        <w:t>county</w:t>
      </w:r>
      <w:proofErr w:type="gramEnd"/>
      <w:r w:rsidRPr="00EE59A8">
        <w:rPr>
          <w:rFonts w:ascii="Arial" w:hAnsi="Arial" w:cs="Arial"/>
          <w:bCs/>
          <w:sz w:val="24"/>
        </w:rPr>
        <w:t xml:space="preserve"> but accesses SEND education in another, it is the responsibility of the home county to pay for their High Needs Funding.  Therefore, if a child attracts Top Up Funding (Element 3) it is the school’s responsibility to claim this Funding from the home Local Authority.  </w:t>
      </w:r>
      <w:proofErr w:type="gramStart"/>
      <w:r w:rsidRPr="00EE59A8">
        <w:rPr>
          <w:rFonts w:ascii="Arial" w:hAnsi="Arial" w:cs="Arial"/>
          <w:bCs/>
          <w:sz w:val="24"/>
        </w:rPr>
        <w:t>i.e.</w:t>
      </w:r>
      <w:proofErr w:type="gramEnd"/>
      <w:r w:rsidRPr="00EE59A8">
        <w:rPr>
          <w:rFonts w:ascii="Arial" w:hAnsi="Arial" w:cs="Arial"/>
          <w:bCs/>
          <w:sz w:val="24"/>
        </w:rPr>
        <w:t xml:space="preserve"> if a learner lives in Essex but attends a Suffolk School, the school should claim Top Up funding from Essex County Council.  </w:t>
      </w:r>
    </w:p>
    <w:p w14:paraId="0084DFED" w14:textId="77777777" w:rsidR="00EE59A8" w:rsidRPr="00EE59A8" w:rsidRDefault="00EE59A8" w:rsidP="00EE59A8">
      <w:pPr>
        <w:pStyle w:val="ListParagraph"/>
        <w:rPr>
          <w:rFonts w:ascii="Arial" w:hAnsi="Arial" w:cs="Arial"/>
          <w:bCs/>
          <w:sz w:val="24"/>
        </w:rPr>
      </w:pPr>
    </w:p>
    <w:p w14:paraId="062E666C" w14:textId="0FA2689E" w:rsidR="002738D6" w:rsidRDefault="00011EF7" w:rsidP="00C61BF8">
      <w:pPr>
        <w:pStyle w:val="ListParagraph"/>
        <w:rPr>
          <w:rFonts w:ascii="Arial" w:hAnsi="Arial" w:cs="Arial"/>
          <w:bCs/>
          <w:sz w:val="24"/>
        </w:rPr>
      </w:pPr>
      <w:r>
        <w:rPr>
          <w:rFonts w:ascii="Arial" w:hAnsi="Arial" w:cs="Arial"/>
          <w:bCs/>
          <w:sz w:val="24"/>
        </w:rPr>
        <w:t xml:space="preserve">This arrangement does not apply for children in care. </w:t>
      </w:r>
      <w:r w:rsidR="00EE59A8" w:rsidRPr="00EE59A8">
        <w:rPr>
          <w:rFonts w:ascii="Arial" w:hAnsi="Arial" w:cs="Arial"/>
          <w:bCs/>
          <w:sz w:val="24"/>
        </w:rPr>
        <w:t xml:space="preserve">Local Authorities are responsible for recouping funding for </w:t>
      </w:r>
      <w:r w:rsidR="000D4379">
        <w:rPr>
          <w:rFonts w:ascii="Arial" w:hAnsi="Arial" w:cs="Arial"/>
          <w:bCs/>
          <w:sz w:val="24"/>
        </w:rPr>
        <w:t>children in care</w:t>
      </w:r>
      <w:r w:rsidR="00EE59A8" w:rsidRPr="00EE59A8">
        <w:rPr>
          <w:rFonts w:ascii="Arial" w:hAnsi="Arial" w:cs="Arial"/>
          <w:bCs/>
          <w:sz w:val="24"/>
        </w:rPr>
        <w:t xml:space="preserve"> in cross border placements and SCC recoup for all looked after children including those in specialist settings.</w:t>
      </w:r>
    </w:p>
    <w:p w14:paraId="64942760" w14:textId="77777777" w:rsidR="00C61BF8" w:rsidRPr="00D36FCB" w:rsidRDefault="00C61BF8" w:rsidP="00C61BF8">
      <w:pPr>
        <w:pStyle w:val="ListParagraph"/>
        <w:rPr>
          <w:rFonts w:ascii="Arial" w:hAnsi="Arial" w:cs="Arial"/>
          <w:bCs/>
          <w:sz w:val="24"/>
        </w:rPr>
      </w:pPr>
    </w:p>
    <w:p w14:paraId="3D1C00DA" w14:textId="19EFC887" w:rsidR="007B1D15" w:rsidRPr="003F7EF3" w:rsidRDefault="00465A23" w:rsidP="003F7EF3">
      <w:pPr>
        <w:pStyle w:val="Heading2"/>
        <w:numPr>
          <w:ilvl w:val="0"/>
          <w:numId w:val="14"/>
        </w:numPr>
        <w:rPr>
          <w:rFonts w:ascii="Arial" w:hAnsi="Arial" w:cs="Arial"/>
        </w:rPr>
      </w:pPr>
      <w:r w:rsidRPr="003F7EF3">
        <w:rPr>
          <w:rFonts w:ascii="Arial" w:hAnsi="Arial" w:cs="Arial"/>
          <w:color w:val="auto"/>
        </w:rPr>
        <w:t>Transitional Protection</w:t>
      </w:r>
      <w:r w:rsidR="007B1D15" w:rsidRPr="003F7EF3">
        <w:rPr>
          <w:rFonts w:ascii="Arial" w:hAnsi="Arial" w:cs="Arial"/>
        </w:rPr>
        <w:br/>
      </w:r>
    </w:p>
    <w:p w14:paraId="76598DED" w14:textId="27F01783" w:rsidR="006C3885" w:rsidRPr="00D55377" w:rsidRDefault="00742732" w:rsidP="00084B2B">
      <w:pPr>
        <w:pStyle w:val="ListParagraph"/>
        <w:rPr>
          <w:rFonts w:ascii="Arial" w:hAnsi="Arial" w:cs="Arial"/>
          <w:bCs/>
          <w:sz w:val="24"/>
        </w:rPr>
      </w:pPr>
      <w:r w:rsidRPr="00D55377">
        <w:rPr>
          <w:rFonts w:ascii="Arial" w:hAnsi="Arial" w:cs="Arial"/>
          <w:bCs/>
          <w:sz w:val="24"/>
        </w:rPr>
        <w:t xml:space="preserve">The implementation of this funding policy and the introduction of the new Banding system for Element 3 </w:t>
      </w:r>
      <w:r w:rsidR="00011EF7">
        <w:rPr>
          <w:rFonts w:ascii="Arial" w:hAnsi="Arial" w:cs="Arial"/>
          <w:bCs/>
          <w:sz w:val="24"/>
        </w:rPr>
        <w:t>has meant that</w:t>
      </w:r>
      <w:r w:rsidR="00011EF7" w:rsidRPr="00D55377">
        <w:rPr>
          <w:rFonts w:ascii="Arial" w:hAnsi="Arial" w:cs="Arial"/>
          <w:bCs/>
          <w:sz w:val="24"/>
        </w:rPr>
        <w:t xml:space="preserve"> </w:t>
      </w:r>
      <w:r w:rsidRPr="00D55377">
        <w:rPr>
          <w:rFonts w:ascii="Arial" w:hAnsi="Arial" w:cs="Arial"/>
          <w:bCs/>
          <w:sz w:val="24"/>
        </w:rPr>
        <w:t xml:space="preserve">some </w:t>
      </w:r>
      <w:r w:rsidR="00D55377" w:rsidRPr="00D55377">
        <w:rPr>
          <w:rFonts w:ascii="Arial" w:hAnsi="Arial" w:cs="Arial"/>
          <w:bCs/>
          <w:sz w:val="24"/>
        </w:rPr>
        <w:t>providers</w:t>
      </w:r>
      <w:r w:rsidRPr="00D55377">
        <w:rPr>
          <w:rFonts w:ascii="Arial" w:hAnsi="Arial" w:cs="Arial"/>
          <w:bCs/>
          <w:sz w:val="24"/>
        </w:rPr>
        <w:t xml:space="preserve"> </w:t>
      </w:r>
      <w:r w:rsidR="00011EF7">
        <w:rPr>
          <w:rFonts w:ascii="Arial" w:hAnsi="Arial" w:cs="Arial"/>
          <w:bCs/>
          <w:sz w:val="24"/>
        </w:rPr>
        <w:t xml:space="preserve">have been </w:t>
      </w:r>
      <w:r w:rsidRPr="00D55377">
        <w:rPr>
          <w:rFonts w:ascii="Arial" w:hAnsi="Arial" w:cs="Arial"/>
          <w:bCs/>
          <w:sz w:val="24"/>
        </w:rPr>
        <w:t xml:space="preserve">subject to a </w:t>
      </w:r>
      <w:r w:rsidR="00011EF7">
        <w:rPr>
          <w:rFonts w:ascii="Arial" w:hAnsi="Arial" w:cs="Arial"/>
          <w:bCs/>
          <w:sz w:val="24"/>
        </w:rPr>
        <w:t xml:space="preserve">significant </w:t>
      </w:r>
      <w:r w:rsidRPr="00D55377">
        <w:rPr>
          <w:rFonts w:ascii="Arial" w:hAnsi="Arial" w:cs="Arial"/>
          <w:bCs/>
          <w:sz w:val="24"/>
        </w:rPr>
        <w:t xml:space="preserve">change to their funding.  Therefore the introduction of Transitional Protection </w:t>
      </w:r>
      <w:r w:rsidR="00011EF7">
        <w:rPr>
          <w:rFonts w:ascii="Arial" w:hAnsi="Arial" w:cs="Arial"/>
          <w:bCs/>
          <w:sz w:val="24"/>
        </w:rPr>
        <w:t>has been</w:t>
      </w:r>
      <w:r w:rsidR="00011EF7" w:rsidRPr="00D55377">
        <w:rPr>
          <w:rFonts w:ascii="Arial" w:hAnsi="Arial" w:cs="Arial"/>
          <w:bCs/>
          <w:sz w:val="24"/>
        </w:rPr>
        <w:t xml:space="preserve"> </w:t>
      </w:r>
      <w:r w:rsidRPr="00D55377">
        <w:rPr>
          <w:rFonts w:ascii="Arial" w:hAnsi="Arial" w:cs="Arial"/>
          <w:bCs/>
          <w:sz w:val="24"/>
        </w:rPr>
        <w:t xml:space="preserve">necessary to ensure that no provider is destabilised and that all payments, both increased and decreased, are </w:t>
      </w:r>
      <w:proofErr w:type="gramStart"/>
      <w:r w:rsidRPr="00D55377">
        <w:rPr>
          <w:rFonts w:ascii="Arial" w:hAnsi="Arial" w:cs="Arial"/>
          <w:bCs/>
          <w:sz w:val="24"/>
        </w:rPr>
        <w:t>distributed  in</w:t>
      </w:r>
      <w:proofErr w:type="gramEnd"/>
      <w:r w:rsidRPr="00D55377">
        <w:rPr>
          <w:rFonts w:ascii="Arial" w:hAnsi="Arial" w:cs="Arial"/>
          <w:bCs/>
          <w:sz w:val="24"/>
        </w:rPr>
        <w:t xml:space="preserve"> line with the National Funding Guidance.</w:t>
      </w:r>
    </w:p>
    <w:p w14:paraId="4789A72C" w14:textId="77777777" w:rsidR="00C61BF8" w:rsidRDefault="00742732" w:rsidP="00762966">
      <w:pPr>
        <w:ind w:left="720"/>
        <w:rPr>
          <w:rFonts w:ascii="Arial" w:hAnsi="Arial" w:cs="Arial"/>
          <w:bCs/>
          <w:sz w:val="24"/>
        </w:rPr>
      </w:pPr>
      <w:r w:rsidRPr="00D55377">
        <w:rPr>
          <w:rFonts w:ascii="Arial" w:hAnsi="Arial" w:cs="Arial"/>
          <w:bCs/>
          <w:sz w:val="24"/>
        </w:rPr>
        <w:t xml:space="preserve">The </w:t>
      </w:r>
      <w:r w:rsidR="00084B2B" w:rsidRPr="00D55377">
        <w:rPr>
          <w:rFonts w:ascii="Arial" w:hAnsi="Arial" w:cs="Arial"/>
          <w:bCs/>
          <w:sz w:val="24"/>
        </w:rPr>
        <w:t>National funding guidance puts in place a protection for providers called the</w:t>
      </w:r>
      <w:r w:rsidR="00864F42" w:rsidRPr="00D55377">
        <w:rPr>
          <w:rFonts w:ascii="Arial" w:hAnsi="Arial" w:cs="Arial"/>
          <w:bCs/>
          <w:sz w:val="24"/>
        </w:rPr>
        <w:t xml:space="preserve"> </w:t>
      </w:r>
      <w:r w:rsidR="00084B2B" w:rsidRPr="00D55377">
        <w:rPr>
          <w:rFonts w:ascii="Arial" w:hAnsi="Arial" w:cs="Arial"/>
          <w:bCs/>
          <w:sz w:val="24"/>
        </w:rPr>
        <w:t>minimum funding guarantee (MFG). The MFG for 201</w:t>
      </w:r>
      <w:r w:rsidRPr="00D55377">
        <w:rPr>
          <w:rFonts w:ascii="Arial" w:hAnsi="Arial" w:cs="Arial"/>
          <w:bCs/>
          <w:sz w:val="24"/>
        </w:rPr>
        <w:t>9</w:t>
      </w:r>
      <w:r w:rsidR="00084B2B" w:rsidRPr="00D55377">
        <w:rPr>
          <w:rFonts w:ascii="Arial" w:hAnsi="Arial" w:cs="Arial"/>
          <w:bCs/>
          <w:sz w:val="24"/>
        </w:rPr>
        <w:t>/</w:t>
      </w:r>
      <w:r w:rsidRPr="00D55377">
        <w:rPr>
          <w:rFonts w:ascii="Arial" w:hAnsi="Arial" w:cs="Arial"/>
          <w:bCs/>
          <w:sz w:val="24"/>
        </w:rPr>
        <w:t>20</w:t>
      </w:r>
      <w:r w:rsidR="00084B2B" w:rsidRPr="00D55377">
        <w:rPr>
          <w:rFonts w:ascii="Arial" w:hAnsi="Arial" w:cs="Arial"/>
          <w:bCs/>
          <w:sz w:val="24"/>
        </w:rPr>
        <w:t xml:space="preserve"> state</w:t>
      </w:r>
      <w:r w:rsidR="00A115B6" w:rsidRPr="00D55377">
        <w:rPr>
          <w:rFonts w:ascii="Arial" w:hAnsi="Arial" w:cs="Arial"/>
          <w:bCs/>
          <w:sz w:val="24"/>
        </w:rPr>
        <w:t>d</w:t>
      </w:r>
      <w:r w:rsidR="00084B2B" w:rsidRPr="00D55377">
        <w:rPr>
          <w:rFonts w:ascii="Arial" w:hAnsi="Arial" w:cs="Arial"/>
          <w:bCs/>
          <w:sz w:val="24"/>
        </w:rPr>
        <w:t xml:space="preserve"> that like for</w:t>
      </w:r>
      <w:r w:rsidR="00864F42" w:rsidRPr="00D55377">
        <w:rPr>
          <w:rFonts w:ascii="Arial" w:hAnsi="Arial" w:cs="Arial"/>
          <w:bCs/>
          <w:sz w:val="24"/>
        </w:rPr>
        <w:t xml:space="preserve"> </w:t>
      </w:r>
      <w:r w:rsidR="00084B2B" w:rsidRPr="00D55377">
        <w:rPr>
          <w:rFonts w:ascii="Arial" w:hAnsi="Arial" w:cs="Arial"/>
          <w:bCs/>
          <w:sz w:val="24"/>
        </w:rPr>
        <w:t>like place funding in any school cannot be less than -1.5% of the previous</w:t>
      </w:r>
      <w:r w:rsidR="00864F42" w:rsidRPr="00D55377">
        <w:rPr>
          <w:rFonts w:ascii="Arial" w:hAnsi="Arial" w:cs="Arial"/>
          <w:bCs/>
          <w:sz w:val="24"/>
        </w:rPr>
        <w:t xml:space="preserve"> </w:t>
      </w:r>
      <w:r w:rsidR="00084B2B" w:rsidRPr="00D55377">
        <w:rPr>
          <w:rFonts w:ascii="Arial" w:hAnsi="Arial" w:cs="Arial"/>
          <w:bCs/>
          <w:sz w:val="24"/>
        </w:rPr>
        <w:t xml:space="preserve">year’s funding rate per place. </w:t>
      </w:r>
      <w:r w:rsidR="00B52F23" w:rsidRPr="00D55377">
        <w:rPr>
          <w:rFonts w:ascii="Arial" w:hAnsi="Arial" w:cs="Arial"/>
          <w:bCs/>
          <w:sz w:val="24"/>
        </w:rPr>
        <w:t>Both</w:t>
      </w:r>
      <w:r w:rsidR="00762966" w:rsidRPr="00D55377">
        <w:rPr>
          <w:rFonts w:ascii="Arial" w:hAnsi="Arial" w:cs="Arial"/>
          <w:bCs/>
          <w:sz w:val="24"/>
        </w:rPr>
        <w:t xml:space="preserve"> increases and decreases in funding</w:t>
      </w:r>
      <w:r w:rsidR="006C3885" w:rsidRPr="00D55377">
        <w:rPr>
          <w:rFonts w:ascii="Arial" w:hAnsi="Arial" w:cs="Arial"/>
          <w:bCs/>
          <w:sz w:val="24"/>
        </w:rPr>
        <w:t xml:space="preserve"> made </w:t>
      </w:r>
      <w:r w:rsidRPr="00D55377">
        <w:rPr>
          <w:rFonts w:ascii="Arial" w:hAnsi="Arial" w:cs="Arial"/>
          <w:bCs/>
          <w:sz w:val="24"/>
        </w:rPr>
        <w:t>from</w:t>
      </w:r>
      <w:r w:rsidR="006C3885" w:rsidRPr="00D55377">
        <w:rPr>
          <w:rFonts w:ascii="Arial" w:hAnsi="Arial" w:cs="Arial"/>
          <w:bCs/>
          <w:sz w:val="24"/>
        </w:rPr>
        <w:t xml:space="preserve"> 2019/20</w:t>
      </w:r>
      <w:r w:rsidR="00762966" w:rsidRPr="00D55377">
        <w:rPr>
          <w:rFonts w:ascii="Arial" w:hAnsi="Arial" w:cs="Arial"/>
          <w:bCs/>
          <w:sz w:val="24"/>
        </w:rPr>
        <w:t xml:space="preserve"> will be made to providers over a </w:t>
      </w:r>
      <w:proofErr w:type="gramStart"/>
      <w:r w:rsidR="00762966" w:rsidRPr="00D55377">
        <w:rPr>
          <w:rFonts w:ascii="Arial" w:hAnsi="Arial" w:cs="Arial"/>
          <w:bCs/>
          <w:sz w:val="24"/>
        </w:rPr>
        <w:t>5 year</w:t>
      </w:r>
      <w:proofErr w:type="gramEnd"/>
      <w:r w:rsidR="00762966" w:rsidRPr="00D55377">
        <w:rPr>
          <w:rFonts w:ascii="Arial" w:hAnsi="Arial" w:cs="Arial"/>
          <w:bCs/>
          <w:sz w:val="24"/>
        </w:rPr>
        <w:t xml:space="preserve"> period, without the funding being change</w:t>
      </w:r>
      <w:r w:rsidR="00AA6C00" w:rsidRPr="00D55377">
        <w:rPr>
          <w:rFonts w:ascii="Arial" w:hAnsi="Arial" w:cs="Arial"/>
          <w:bCs/>
          <w:sz w:val="24"/>
        </w:rPr>
        <w:t>d</w:t>
      </w:r>
      <w:r w:rsidR="00762966" w:rsidRPr="00D55377">
        <w:rPr>
          <w:rFonts w:ascii="Arial" w:hAnsi="Arial" w:cs="Arial"/>
          <w:bCs/>
          <w:sz w:val="24"/>
        </w:rPr>
        <w:t xml:space="preserve"> by less</w:t>
      </w:r>
      <w:r w:rsidR="00A7167A">
        <w:rPr>
          <w:rFonts w:ascii="Arial" w:hAnsi="Arial" w:cs="Arial"/>
          <w:bCs/>
          <w:sz w:val="24"/>
        </w:rPr>
        <w:t xml:space="preserve"> or more</w:t>
      </w:r>
      <w:r w:rsidR="00762966" w:rsidRPr="00D55377">
        <w:rPr>
          <w:rFonts w:ascii="Arial" w:hAnsi="Arial" w:cs="Arial"/>
          <w:bCs/>
          <w:sz w:val="24"/>
        </w:rPr>
        <w:t xml:space="preserve"> than 1.5%.</w:t>
      </w:r>
      <w:r w:rsidRPr="00D55377">
        <w:rPr>
          <w:rFonts w:ascii="Arial" w:hAnsi="Arial" w:cs="Arial"/>
          <w:bCs/>
          <w:sz w:val="24"/>
        </w:rPr>
        <w:t xml:space="preserve"> </w:t>
      </w:r>
    </w:p>
    <w:p w14:paraId="2E9CB276" w14:textId="70A00C5E" w:rsidR="004A493D" w:rsidRPr="00D55377" w:rsidRDefault="00C61BF8" w:rsidP="00762966">
      <w:pPr>
        <w:ind w:left="720"/>
        <w:rPr>
          <w:rFonts w:ascii="Arial" w:hAnsi="Arial" w:cs="Arial"/>
          <w:bCs/>
          <w:sz w:val="24"/>
        </w:rPr>
      </w:pPr>
      <w:r w:rsidRPr="00D55377">
        <w:rPr>
          <w:rFonts w:ascii="Arial" w:hAnsi="Arial" w:cs="Arial"/>
          <w:bCs/>
          <w:sz w:val="24"/>
        </w:rPr>
        <w:lastRenderedPageBreak/>
        <w:t xml:space="preserve">The </w:t>
      </w:r>
      <w:r>
        <w:rPr>
          <w:rFonts w:ascii="Arial" w:hAnsi="Arial" w:cs="Arial"/>
          <w:bCs/>
          <w:sz w:val="24"/>
        </w:rPr>
        <w:t>current</w:t>
      </w:r>
      <w:r w:rsidRPr="00D55377">
        <w:rPr>
          <w:rFonts w:ascii="Arial" w:hAnsi="Arial" w:cs="Arial"/>
          <w:bCs/>
          <w:sz w:val="24"/>
        </w:rPr>
        <w:t xml:space="preserve"> MFG </w:t>
      </w:r>
      <w:r>
        <w:rPr>
          <w:rFonts w:ascii="Arial" w:hAnsi="Arial" w:cs="Arial"/>
          <w:bCs/>
          <w:sz w:val="24"/>
        </w:rPr>
        <w:t xml:space="preserve">for 2020/21 </w:t>
      </w:r>
      <w:r w:rsidRPr="00D55377">
        <w:rPr>
          <w:rFonts w:ascii="Arial" w:hAnsi="Arial" w:cs="Arial"/>
          <w:bCs/>
          <w:sz w:val="24"/>
        </w:rPr>
        <w:t xml:space="preserve">has been reduced to 0%, therefore where funding will be reduced to </w:t>
      </w:r>
      <w:proofErr w:type="gramStart"/>
      <w:r>
        <w:rPr>
          <w:rFonts w:ascii="Arial" w:hAnsi="Arial" w:cs="Arial"/>
          <w:bCs/>
          <w:sz w:val="24"/>
        </w:rPr>
        <w:t xml:space="preserve">transition </w:t>
      </w:r>
      <w:r w:rsidRPr="00D55377">
        <w:rPr>
          <w:rFonts w:ascii="Arial" w:hAnsi="Arial" w:cs="Arial"/>
          <w:bCs/>
          <w:sz w:val="24"/>
        </w:rPr>
        <w:t xml:space="preserve"> providers</w:t>
      </w:r>
      <w:proofErr w:type="gramEnd"/>
      <w:r w:rsidRPr="00D55377">
        <w:rPr>
          <w:rFonts w:ascii="Arial" w:hAnsi="Arial" w:cs="Arial"/>
          <w:bCs/>
          <w:sz w:val="24"/>
        </w:rPr>
        <w:t xml:space="preserve"> onto the new funding methodology Secretary of State approval will be sought by SCC. </w:t>
      </w:r>
      <w:r w:rsidR="00742732" w:rsidRPr="00D55377">
        <w:rPr>
          <w:rFonts w:ascii="Arial" w:hAnsi="Arial" w:cs="Arial"/>
          <w:bCs/>
          <w:sz w:val="24"/>
        </w:rPr>
        <w:t xml:space="preserve">Any changes made to funding beyond 2020/21 will be modelled over 5 years and </w:t>
      </w:r>
      <w:r w:rsidR="00B52F23" w:rsidRPr="00D55377">
        <w:rPr>
          <w:rFonts w:ascii="Arial" w:hAnsi="Arial" w:cs="Arial"/>
          <w:bCs/>
          <w:sz w:val="24"/>
        </w:rPr>
        <w:t>Secretary of State</w:t>
      </w:r>
      <w:r w:rsidR="0090699C">
        <w:rPr>
          <w:rFonts w:ascii="Arial" w:hAnsi="Arial" w:cs="Arial"/>
          <w:bCs/>
          <w:sz w:val="24"/>
        </w:rPr>
        <w:t>’s</w:t>
      </w:r>
      <w:r w:rsidR="00B52F23" w:rsidRPr="00D55377">
        <w:rPr>
          <w:rFonts w:ascii="Arial" w:hAnsi="Arial" w:cs="Arial"/>
          <w:bCs/>
          <w:sz w:val="24"/>
        </w:rPr>
        <w:t xml:space="preserve"> approval will be received before reductions in funding are made.</w:t>
      </w:r>
    </w:p>
    <w:p w14:paraId="4C7728AA" w14:textId="77777777" w:rsidR="00B52F23" w:rsidRPr="00D55377" w:rsidRDefault="00B52F23" w:rsidP="00762966">
      <w:pPr>
        <w:ind w:left="720"/>
        <w:rPr>
          <w:rFonts w:ascii="Arial" w:hAnsi="Arial" w:cs="Arial"/>
          <w:bCs/>
          <w:sz w:val="24"/>
        </w:rPr>
      </w:pPr>
      <w:r w:rsidRPr="00D55377">
        <w:rPr>
          <w:rFonts w:ascii="Arial" w:hAnsi="Arial" w:cs="Arial"/>
          <w:bCs/>
          <w:sz w:val="24"/>
        </w:rPr>
        <w:t>All information regarding Transitional Protection and funding across the next five years, will be shared with providers ahead of any changes being made.  Payment schedules for 5 years will b</w:t>
      </w:r>
      <w:r w:rsidR="00D55377" w:rsidRPr="00D55377">
        <w:rPr>
          <w:rFonts w:ascii="Arial" w:hAnsi="Arial" w:cs="Arial"/>
          <w:bCs/>
          <w:sz w:val="24"/>
        </w:rPr>
        <w:t xml:space="preserve">e </w:t>
      </w:r>
      <w:proofErr w:type="gramStart"/>
      <w:r w:rsidRPr="00D55377">
        <w:rPr>
          <w:rFonts w:ascii="Arial" w:hAnsi="Arial" w:cs="Arial"/>
          <w:bCs/>
          <w:sz w:val="24"/>
        </w:rPr>
        <w:t>shared</w:t>
      </w:r>
      <w:proofErr w:type="gramEnd"/>
      <w:r w:rsidRPr="00D55377">
        <w:rPr>
          <w:rFonts w:ascii="Arial" w:hAnsi="Arial" w:cs="Arial"/>
          <w:bCs/>
          <w:sz w:val="24"/>
        </w:rPr>
        <w:t xml:space="preserve"> and all providers will be on the new Top-Up Banding Rates by 2024/2025</w:t>
      </w:r>
    </w:p>
    <w:p w14:paraId="125FECC2" w14:textId="00791DF3" w:rsidR="00742732" w:rsidRDefault="00742732" w:rsidP="00742732">
      <w:pPr>
        <w:pStyle w:val="ListParagraph"/>
        <w:rPr>
          <w:rStyle w:val="Hyperlink"/>
          <w:rFonts w:ascii="Arial" w:hAnsi="Arial" w:cs="Arial"/>
          <w:bCs/>
          <w:sz w:val="24"/>
        </w:rPr>
      </w:pPr>
      <w:r w:rsidRPr="00D55377">
        <w:rPr>
          <w:rFonts w:ascii="Arial" w:hAnsi="Arial" w:cs="Arial"/>
          <w:bCs/>
          <w:sz w:val="24"/>
        </w:rPr>
        <w:t xml:space="preserve">Further information about the MFG including example of how it operates in practice can be found in the </w:t>
      </w:r>
      <w:hyperlink r:id="rId10" w:history="1">
        <w:r w:rsidRPr="00D55377">
          <w:rPr>
            <w:rStyle w:val="Hyperlink"/>
            <w:rFonts w:ascii="Arial" w:hAnsi="Arial" w:cs="Arial"/>
            <w:bCs/>
            <w:sz w:val="24"/>
          </w:rPr>
          <w:t>20</w:t>
        </w:r>
        <w:r w:rsidR="00D55377" w:rsidRPr="00D55377">
          <w:rPr>
            <w:rStyle w:val="Hyperlink"/>
            <w:rFonts w:ascii="Arial" w:hAnsi="Arial" w:cs="Arial"/>
            <w:bCs/>
            <w:sz w:val="24"/>
          </w:rPr>
          <w:t>21</w:t>
        </w:r>
        <w:r w:rsidRPr="00D55377">
          <w:rPr>
            <w:rStyle w:val="Hyperlink"/>
            <w:rFonts w:ascii="Arial" w:hAnsi="Arial" w:cs="Arial"/>
            <w:bCs/>
            <w:sz w:val="24"/>
          </w:rPr>
          <w:t>/2</w:t>
        </w:r>
        <w:r w:rsidR="00D55377" w:rsidRPr="00D55377">
          <w:rPr>
            <w:rStyle w:val="Hyperlink"/>
            <w:rFonts w:ascii="Arial" w:hAnsi="Arial" w:cs="Arial"/>
            <w:bCs/>
            <w:sz w:val="24"/>
          </w:rPr>
          <w:t>2</w:t>
        </w:r>
        <w:r w:rsidRPr="00D55377">
          <w:rPr>
            <w:rStyle w:val="Hyperlink"/>
            <w:rFonts w:ascii="Arial" w:hAnsi="Arial" w:cs="Arial"/>
            <w:bCs/>
            <w:sz w:val="24"/>
          </w:rPr>
          <w:t xml:space="preserve"> High Needs Funding Operational Guide.</w:t>
        </w:r>
      </w:hyperlink>
      <w:r w:rsidRPr="00D55377">
        <w:rPr>
          <w:rStyle w:val="Hyperlink"/>
          <w:rFonts w:ascii="Arial" w:hAnsi="Arial" w:cs="Arial"/>
          <w:bCs/>
          <w:sz w:val="24"/>
        </w:rPr>
        <w:t xml:space="preserve"> </w:t>
      </w:r>
    </w:p>
    <w:p w14:paraId="417EB31E" w14:textId="77777777" w:rsidR="00C61BF8" w:rsidRPr="00D55377" w:rsidRDefault="00C61BF8" w:rsidP="00742732">
      <w:pPr>
        <w:pStyle w:val="ListParagraph"/>
        <w:rPr>
          <w:rFonts w:ascii="Arial" w:hAnsi="Arial" w:cs="Arial"/>
          <w:bCs/>
          <w:sz w:val="24"/>
        </w:rPr>
      </w:pPr>
    </w:p>
    <w:p w14:paraId="12FEA668" w14:textId="60CDE0D1" w:rsidR="00D24BDD" w:rsidRPr="003F7EF3" w:rsidRDefault="007B1D15" w:rsidP="003F7EF3">
      <w:pPr>
        <w:pStyle w:val="Heading2"/>
        <w:numPr>
          <w:ilvl w:val="0"/>
          <w:numId w:val="14"/>
        </w:numPr>
        <w:rPr>
          <w:rFonts w:ascii="Arial" w:hAnsi="Arial" w:cs="Arial"/>
        </w:rPr>
      </w:pPr>
      <w:bookmarkStart w:id="3" w:name="_Hlk53679445"/>
      <w:r w:rsidRPr="003F7EF3">
        <w:rPr>
          <w:rFonts w:ascii="Arial" w:hAnsi="Arial" w:cs="Arial"/>
          <w:color w:val="auto"/>
        </w:rPr>
        <w:t xml:space="preserve">Payment </w:t>
      </w:r>
      <w:r w:rsidR="00C355DF" w:rsidRPr="003F7EF3">
        <w:rPr>
          <w:rFonts w:ascii="Arial" w:hAnsi="Arial" w:cs="Arial"/>
          <w:color w:val="auto"/>
        </w:rPr>
        <w:t>Schedule</w:t>
      </w:r>
    </w:p>
    <w:p w14:paraId="6CF0A24A" w14:textId="668EF38E" w:rsidR="00D24BDD" w:rsidRDefault="00D24BDD" w:rsidP="00D24BDD">
      <w:pPr>
        <w:pStyle w:val="ListParagraph"/>
        <w:rPr>
          <w:rFonts w:ascii="Arial" w:hAnsi="Arial" w:cs="Arial"/>
          <w:b/>
          <w:sz w:val="24"/>
        </w:rPr>
      </w:pPr>
    </w:p>
    <w:p w14:paraId="32691EC4" w14:textId="77777777" w:rsidR="00D24BDD" w:rsidRPr="00A115B6" w:rsidRDefault="00D24BDD" w:rsidP="00D24BDD">
      <w:pPr>
        <w:pStyle w:val="ListParagraph"/>
        <w:rPr>
          <w:rFonts w:ascii="Arial" w:hAnsi="Arial" w:cs="Arial"/>
          <w:bCs/>
          <w:sz w:val="24"/>
        </w:rPr>
      </w:pPr>
      <w:r w:rsidRPr="00A115B6">
        <w:rPr>
          <w:rFonts w:ascii="Arial" w:hAnsi="Arial" w:cs="Arial"/>
          <w:bCs/>
          <w:sz w:val="24"/>
        </w:rPr>
        <w:t xml:space="preserve">Providers are paid in advance on a termly basis, and payments are made based on the previous terms data.  Therefore, providers are paid in December, </w:t>
      </w:r>
      <w:proofErr w:type="gramStart"/>
      <w:r w:rsidRPr="00A115B6">
        <w:rPr>
          <w:rFonts w:ascii="Arial" w:hAnsi="Arial" w:cs="Arial"/>
          <w:bCs/>
          <w:sz w:val="24"/>
        </w:rPr>
        <w:t>April</w:t>
      </w:r>
      <w:proofErr w:type="gramEnd"/>
      <w:r w:rsidRPr="00A115B6">
        <w:rPr>
          <w:rFonts w:ascii="Arial" w:hAnsi="Arial" w:cs="Arial"/>
          <w:bCs/>
          <w:sz w:val="24"/>
        </w:rPr>
        <w:t xml:space="preserve"> and July, for the Spring, Summer and Autumn terms.</w:t>
      </w:r>
    </w:p>
    <w:p w14:paraId="05CE039F" w14:textId="77777777" w:rsidR="00D24BDD" w:rsidRPr="00A115B6" w:rsidRDefault="00D24BDD" w:rsidP="00D24BDD">
      <w:pPr>
        <w:pStyle w:val="ListParagraph"/>
        <w:rPr>
          <w:rFonts w:ascii="Arial" w:hAnsi="Arial" w:cs="Arial"/>
          <w:bCs/>
          <w:sz w:val="24"/>
        </w:rPr>
      </w:pPr>
    </w:p>
    <w:p w14:paraId="4B6DAA00" w14:textId="5DA924E4" w:rsidR="00D24BDD" w:rsidRDefault="00D24BDD" w:rsidP="00D24BDD">
      <w:pPr>
        <w:pStyle w:val="ListParagraph"/>
        <w:rPr>
          <w:rFonts w:ascii="Arial" w:hAnsi="Arial" w:cs="Arial"/>
          <w:bCs/>
          <w:sz w:val="24"/>
        </w:rPr>
      </w:pPr>
      <w:r w:rsidRPr="00A115B6">
        <w:rPr>
          <w:rFonts w:ascii="Arial" w:hAnsi="Arial" w:cs="Arial"/>
          <w:bCs/>
          <w:sz w:val="24"/>
        </w:rPr>
        <w:t>Changes to how the payments are made will only be made in exceptional circumstances and with agreement from both the Provider and Suffolk County Council.</w:t>
      </w:r>
    </w:p>
    <w:p w14:paraId="3CF91ED0" w14:textId="3C1FDF30" w:rsidR="000A6B50" w:rsidRDefault="000A6B50" w:rsidP="00D24BDD">
      <w:pPr>
        <w:pStyle w:val="ListParagraph"/>
        <w:rPr>
          <w:rFonts w:ascii="Arial" w:hAnsi="Arial" w:cs="Arial"/>
          <w:bCs/>
          <w:sz w:val="24"/>
        </w:rPr>
      </w:pPr>
    </w:p>
    <w:p w14:paraId="15643297" w14:textId="2A405008" w:rsidR="00D24BDD" w:rsidRPr="003F7EF3" w:rsidRDefault="00D24BDD" w:rsidP="003F7EF3">
      <w:pPr>
        <w:pStyle w:val="Heading2"/>
        <w:numPr>
          <w:ilvl w:val="0"/>
          <w:numId w:val="14"/>
        </w:numPr>
        <w:rPr>
          <w:rFonts w:ascii="Arial" w:hAnsi="Arial" w:cs="Arial"/>
        </w:rPr>
      </w:pPr>
      <w:r w:rsidRPr="003F7EF3">
        <w:rPr>
          <w:rFonts w:ascii="Arial" w:hAnsi="Arial" w:cs="Arial"/>
          <w:color w:val="auto"/>
        </w:rPr>
        <w:t>Document Review</w:t>
      </w:r>
    </w:p>
    <w:tbl>
      <w:tblPr>
        <w:tblStyle w:val="TableGrid"/>
        <w:tblW w:w="0" w:type="auto"/>
        <w:tblInd w:w="720" w:type="dxa"/>
        <w:tblLook w:val="04A0" w:firstRow="1" w:lastRow="0" w:firstColumn="1" w:lastColumn="0" w:noHBand="0" w:noVBand="1"/>
      </w:tblPr>
      <w:tblGrid>
        <w:gridCol w:w="2778"/>
        <w:gridCol w:w="2766"/>
        <w:gridCol w:w="2752"/>
      </w:tblGrid>
      <w:tr w:rsidR="00D24BDD" w14:paraId="55971577" w14:textId="77777777" w:rsidTr="008F69ED">
        <w:tc>
          <w:tcPr>
            <w:tcW w:w="2778" w:type="dxa"/>
          </w:tcPr>
          <w:p w14:paraId="1790C0CA" w14:textId="29E162D4" w:rsidR="00D24BDD" w:rsidRDefault="00D24BDD" w:rsidP="00D24BDD">
            <w:pPr>
              <w:rPr>
                <w:rFonts w:ascii="Arial" w:hAnsi="Arial" w:cs="Arial"/>
                <w:b/>
                <w:sz w:val="24"/>
              </w:rPr>
            </w:pPr>
            <w:r>
              <w:rPr>
                <w:rFonts w:ascii="Arial" w:hAnsi="Arial" w:cs="Arial"/>
                <w:b/>
                <w:sz w:val="24"/>
              </w:rPr>
              <w:t>Document Version</w:t>
            </w:r>
          </w:p>
        </w:tc>
        <w:tc>
          <w:tcPr>
            <w:tcW w:w="2766" w:type="dxa"/>
          </w:tcPr>
          <w:p w14:paraId="2740B796" w14:textId="0F47D7EF" w:rsidR="00D24BDD" w:rsidRDefault="00D24BDD" w:rsidP="00D24BDD">
            <w:pPr>
              <w:rPr>
                <w:rFonts w:ascii="Arial" w:hAnsi="Arial" w:cs="Arial"/>
                <w:b/>
                <w:sz w:val="24"/>
              </w:rPr>
            </w:pPr>
            <w:r>
              <w:rPr>
                <w:rFonts w:ascii="Arial" w:hAnsi="Arial" w:cs="Arial"/>
                <w:b/>
                <w:sz w:val="24"/>
              </w:rPr>
              <w:t>Date</w:t>
            </w:r>
          </w:p>
        </w:tc>
        <w:tc>
          <w:tcPr>
            <w:tcW w:w="2752" w:type="dxa"/>
          </w:tcPr>
          <w:p w14:paraId="78CFC3CA" w14:textId="553BA415" w:rsidR="00D24BDD" w:rsidRDefault="00D24BDD" w:rsidP="00D24BDD">
            <w:pPr>
              <w:rPr>
                <w:rFonts w:ascii="Arial" w:hAnsi="Arial" w:cs="Arial"/>
                <w:b/>
                <w:sz w:val="24"/>
              </w:rPr>
            </w:pPr>
            <w:r>
              <w:rPr>
                <w:rFonts w:ascii="Arial" w:hAnsi="Arial" w:cs="Arial"/>
                <w:b/>
                <w:sz w:val="24"/>
              </w:rPr>
              <w:t>Date to be reviewed</w:t>
            </w:r>
          </w:p>
        </w:tc>
      </w:tr>
      <w:tr w:rsidR="00D24BDD" w14:paraId="4543132E" w14:textId="77777777" w:rsidTr="008F69ED">
        <w:tc>
          <w:tcPr>
            <w:tcW w:w="2778" w:type="dxa"/>
          </w:tcPr>
          <w:p w14:paraId="201F6474" w14:textId="1A40CC19" w:rsidR="00D24BDD" w:rsidRPr="00D24BDD" w:rsidRDefault="00D24BDD" w:rsidP="00D24BDD">
            <w:pPr>
              <w:rPr>
                <w:rFonts w:ascii="Arial" w:hAnsi="Arial" w:cs="Arial"/>
                <w:bCs/>
                <w:sz w:val="24"/>
              </w:rPr>
            </w:pPr>
            <w:r w:rsidRPr="00D24BDD">
              <w:rPr>
                <w:rFonts w:ascii="Arial" w:hAnsi="Arial" w:cs="Arial"/>
                <w:bCs/>
                <w:sz w:val="24"/>
              </w:rPr>
              <w:t xml:space="preserve">Version 1 </w:t>
            </w:r>
          </w:p>
        </w:tc>
        <w:tc>
          <w:tcPr>
            <w:tcW w:w="2766" w:type="dxa"/>
          </w:tcPr>
          <w:p w14:paraId="6F5D7108" w14:textId="27D99A3E" w:rsidR="00D24BDD" w:rsidRPr="00D24BDD" w:rsidRDefault="00D24BDD" w:rsidP="00D24BDD">
            <w:pPr>
              <w:rPr>
                <w:rFonts w:ascii="Arial" w:hAnsi="Arial" w:cs="Arial"/>
                <w:bCs/>
                <w:sz w:val="24"/>
              </w:rPr>
            </w:pPr>
            <w:r w:rsidRPr="00D24BDD">
              <w:rPr>
                <w:rFonts w:ascii="Arial" w:hAnsi="Arial" w:cs="Arial"/>
                <w:bCs/>
                <w:sz w:val="24"/>
              </w:rPr>
              <w:t>19</w:t>
            </w:r>
            <w:r w:rsidRPr="00D24BDD">
              <w:rPr>
                <w:rFonts w:ascii="Arial" w:hAnsi="Arial" w:cs="Arial"/>
                <w:bCs/>
                <w:sz w:val="24"/>
                <w:vertAlign w:val="superscript"/>
              </w:rPr>
              <w:t>th</w:t>
            </w:r>
            <w:r w:rsidRPr="00D24BDD">
              <w:rPr>
                <w:rFonts w:ascii="Arial" w:hAnsi="Arial" w:cs="Arial"/>
                <w:bCs/>
                <w:sz w:val="24"/>
              </w:rPr>
              <w:t xml:space="preserve"> November 2020</w:t>
            </w:r>
          </w:p>
        </w:tc>
        <w:tc>
          <w:tcPr>
            <w:tcW w:w="2752" w:type="dxa"/>
          </w:tcPr>
          <w:p w14:paraId="6EC63744" w14:textId="480286C6" w:rsidR="00D24BDD" w:rsidRPr="00D24BDD" w:rsidRDefault="00D24BDD" w:rsidP="00D24BDD">
            <w:pPr>
              <w:rPr>
                <w:rFonts w:ascii="Arial" w:hAnsi="Arial" w:cs="Arial"/>
                <w:bCs/>
                <w:sz w:val="24"/>
              </w:rPr>
            </w:pPr>
            <w:r>
              <w:rPr>
                <w:rFonts w:ascii="Arial" w:hAnsi="Arial" w:cs="Arial"/>
                <w:bCs/>
                <w:sz w:val="24"/>
              </w:rPr>
              <w:t>June/July 2022*</w:t>
            </w:r>
          </w:p>
        </w:tc>
      </w:tr>
    </w:tbl>
    <w:p w14:paraId="015BA5F8" w14:textId="731CDC24" w:rsidR="00465A23" w:rsidRPr="00D24BDD" w:rsidRDefault="00D24BDD" w:rsidP="00D24BDD">
      <w:pPr>
        <w:ind w:left="720"/>
        <w:rPr>
          <w:rFonts w:ascii="Arial" w:hAnsi="Arial" w:cs="Arial"/>
          <w:bCs/>
          <w:sz w:val="24"/>
        </w:rPr>
      </w:pPr>
      <w:r w:rsidRPr="00D24BDD">
        <w:rPr>
          <w:rFonts w:ascii="Arial" w:hAnsi="Arial" w:cs="Arial"/>
          <w:bCs/>
          <w:sz w:val="24"/>
        </w:rPr>
        <w:t xml:space="preserve">*Document to be reviewed once implemented for a full academic year </w:t>
      </w:r>
      <w:r>
        <w:rPr>
          <w:rFonts w:ascii="Arial" w:hAnsi="Arial" w:cs="Arial"/>
          <w:bCs/>
          <w:sz w:val="24"/>
        </w:rPr>
        <w:t>(</w:t>
      </w:r>
      <w:r w:rsidRPr="00D24BDD">
        <w:rPr>
          <w:rFonts w:ascii="Arial" w:hAnsi="Arial" w:cs="Arial"/>
          <w:bCs/>
          <w:sz w:val="24"/>
        </w:rPr>
        <w:t>2021/22</w:t>
      </w:r>
      <w:r>
        <w:rPr>
          <w:rFonts w:ascii="Arial" w:hAnsi="Arial" w:cs="Arial"/>
          <w:bCs/>
          <w:sz w:val="24"/>
        </w:rPr>
        <w:t>)</w:t>
      </w:r>
      <w:r w:rsidRPr="00D24BDD">
        <w:rPr>
          <w:rFonts w:ascii="Arial" w:hAnsi="Arial" w:cs="Arial"/>
          <w:bCs/>
          <w:sz w:val="24"/>
        </w:rPr>
        <w:t>.  To be reviewed by the Head of Send Funding and the High Needs Working Group.</w:t>
      </w:r>
      <w:r w:rsidR="00465A23" w:rsidRPr="00D24BDD">
        <w:rPr>
          <w:rFonts w:ascii="Arial" w:hAnsi="Arial" w:cs="Arial"/>
          <w:bCs/>
          <w:sz w:val="24"/>
        </w:rPr>
        <w:br/>
      </w:r>
    </w:p>
    <w:bookmarkEnd w:id="3"/>
    <w:p w14:paraId="18CADE81" w14:textId="77777777" w:rsidR="00D24BDD" w:rsidRPr="00D24BDD" w:rsidRDefault="00D24BDD" w:rsidP="00D24BDD">
      <w:pPr>
        <w:pStyle w:val="ListParagraph"/>
        <w:rPr>
          <w:rFonts w:ascii="Arial" w:hAnsi="Arial" w:cs="Arial"/>
          <w:bCs/>
          <w:sz w:val="24"/>
        </w:rPr>
      </w:pPr>
    </w:p>
    <w:p w14:paraId="7761E9BE" w14:textId="77777777" w:rsidR="00465A23" w:rsidRPr="00AA083F" w:rsidRDefault="00465A23" w:rsidP="00084B2B">
      <w:pPr>
        <w:autoSpaceDE w:val="0"/>
        <w:autoSpaceDN w:val="0"/>
        <w:adjustRightInd w:val="0"/>
        <w:spacing w:after="0" w:line="240" w:lineRule="auto"/>
        <w:rPr>
          <w:rFonts w:ascii="Arial" w:hAnsi="Arial" w:cs="Arial"/>
          <w:sz w:val="24"/>
          <w:szCs w:val="24"/>
        </w:rPr>
      </w:pPr>
    </w:p>
    <w:sectPr w:rsidR="00465A23" w:rsidRPr="00AA083F" w:rsidSect="008116B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58E5" w14:textId="77777777" w:rsidR="0003618E" w:rsidRDefault="0003618E" w:rsidP="003E294E">
      <w:pPr>
        <w:spacing w:after="0" w:line="240" w:lineRule="auto"/>
      </w:pPr>
      <w:r>
        <w:separator/>
      </w:r>
    </w:p>
  </w:endnote>
  <w:endnote w:type="continuationSeparator" w:id="0">
    <w:p w14:paraId="11A39D77" w14:textId="77777777" w:rsidR="0003618E" w:rsidRDefault="0003618E" w:rsidP="003E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B804" w14:textId="77777777" w:rsidR="008116BB" w:rsidRDefault="008116BB" w:rsidP="00A00463">
    <w:pPr>
      <w:pStyle w:val="Footer"/>
      <w:rPr>
        <w:rFonts w:ascii="Arial" w:hAnsi="Arial" w:cs="Arial"/>
        <w:color w:val="000000"/>
        <w:sz w:val="20"/>
      </w:rPr>
    </w:pPr>
    <w:bookmarkStart w:id="5" w:name="TITUS1FooterEvenPages"/>
    <w:r w:rsidRPr="008116BB">
      <w:rPr>
        <w:rFonts w:ascii="Arial" w:hAnsi="Arial" w:cs="Arial"/>
        <w:color w:val="000000"/>
        <w:sz w:val="20"/>
      </w:rPr>
      <w:t> </w:t>
    </w:r>
  </w:p>
  <w:bookmarkEnd w:id="5" w:displacedByCustomXml="next"/>
  <w:sdt>
    <w:sdtPr>
      <w:id w:val="-1156606669"/>
      <w:docPartObj>
        <w:docPartGallery w:val="Page Numbers (Bottom of Page)"/>
        <w:docPartUnique/>
      </w:docPartObj>
    </w:sdtPr>
    <w:sdtEndPr>
      <w:rPr>
        <w:noProof/>
      </w:rPr>
    </w:sdtEndPr>
    <w:sdtContent>
      <w:p w14:paraId="38DA362A" w14:textId="66C96795" w:rsidR="008116BB" w:rsidRDefault="008116BB">
        <w:pPr>
          <w:pStyle w:val="Footer"/>
          <w:jc w:val="center"/>
        </w:pPr>
        <w:r>
          <w:t xml:space="preserve">                                                                                  </w:t>
        </w:r>
        <w:r>
          <w:fldChar w:fldCharType="begin"/>
        </w:r>
        <w:r>
          <w:instrText xml:space="preserve"> PAGE   \* MERGEFORMAT </w:instrText>
        </w:r>
        <w:r>
          <w:fldChar w:fldCharType="separate"/>
        </w:r>
        <w:r w:rsidR="009A737E">
          <w:rPr>
            <w:noProof/>
          </w:rPr>
          <w:t>8</w:t>
        </w:r>
        <w:r>
          <w:rPr>
            <w:noProof/>
          </w:rPr>
          <w:fldChar w:fldCharType="end"/>
        </w:r>
        <w:r>
          <w:rPr>
            <w:noProof/>
          </w:rPr>
          <w:tab/>
        </w:r>
        <w:r>
          <w:rPr>
            <w:noProof/>
          </w:rPr>
          <w:tab/>
        </w:r>
        <w:r w:rsidR="00D24BDD">
          <w:rPr>
            <w:noProof/>
          </w:rPr>
          <w:t>19 November 2020</w:t>
        </w:r>
      </w:p>
    </w:sdtContent>
  </w:sdt>
  <w:p w14:paraId="265CB264" w14:textId="77777777" w:rsidR="008116BB" w:rsidRDefault="00811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F2E2" w14:textId="77777777" w:rsidR="008116BB" w:rsidRDefault="008116BB" w:rsidP="008116BB">
    <w:pPr>
      <w:pStyle w:val="Footer"/>
      <w:jc w:val="center"/>
      <w:rPr>
        <w:rFonts w:ascii="Arial" w:hAnsi="Arial" w:cs="Arial"/>
        <w:color w:val="000000"/>
        <w:sz w:val="20"/>
      </w:rPr>
    </w:pPr>
    <w:bookmarkStart w:id="6" w:name="TITUS1FooterPrimary"/>
    <w:r w:rsidRPr="008116BB">
      <w:rPr>
        <w:rFonts w:ascii="Arial" w:hAnsi="Arial" w:cs="Arial"/>
        <w:color w:val="000000"/>
        <w:sz w:val="20"/>
      </w:rPr>
      <w:t> </w:t>
    </w:r>
  </w:p>
  <w:bookmarkEnd w:id="6" w:displacedByCustomXml="next"/>
  <w:sdt>
    <w:sdtPr>
      <w:id w:val="344294109"/>
      <w:docPartObj>
        <w:docPartGallery w:val="Page Numbers (Bottom of Page)"/>
        <w:docPartUnique/>
      </w:docPartObj>
    </w:sdtPr>
    <w:sdtEndPr>
      <w:rPr>
        <w:noProof/>
      </w:rPr>
    </w:sdtEndPr>
    <w:sdtContent>
      <w:p w14:paraId="2889B5E0" w14:textId="64C15B75" w:rsidR="001448E9" w:rsidRDefault="001448E9">
        <w:pPr>
          <w:pStyle w:val="Footer"/>
          <w:jc w:val="center"/>
        </w:pPr>
        <w:r>
          <w:t xml:space="preserve">                                                                                  </w:t>
        </w:r>
        <w:r>
          <w:fldChar w:fldCharType="begin"/>
        </w:r>
        <w:r>
          <w:instrText xml:space="preserve"> PAGE   \* MERGEFORMAT </w:instrText>
        </w:r>
        <w:r>
          <w:fldChar w:fldCharType="separate"/>
        </w:r>
        <w:r w:rsidR="00A00463">
          <w:rPr>
            <w:noProof/>
          </w:rPr>
          <w:t>7</w:t>
        </w:r>
        <w:r>
          <w:rPr>
            <w:noProof/>
          </w:rPr>
          <w:fldChar w:fldCharType="end"/>
        </w:r>
        <w:r>
          <w:rPr>
            <w:noProof/>
          </w:rPr>
          <w:tab/>
        </w:r>
        <w:r>
          <w:rPr>
            <w:noProof/>
          </w:rPr>
          <w:tab/>
        </w:r>
        <w:r w:rsidR="00D24BDD">
          <w:rPr>
            <w:noProof/>
          </w:rPr>
          <w:t>19 November 2020</w:t>
        </w:r>
      </w:p>
    </w:sdtContent>
  </w:sdt>
  <w:p w14:paraId="461309E6" w14:textId="77777777" w:rsidR="00AA083F" w:rsidRDefault="00AA0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94C6" w14:textId="77777777" w:rsidR="008116BB" w:rsidRDefault="008116BB" w:rsidP="008116BB">
    <w:pPr>
      <w:pStyle w:val="Footer"/>
      <w:jc w:val="center"/>
      <w:rPr>
        <w:rFonts w:ascii="Arial" w:hAnsi="Arial" w:cs="Arial"/>
        <w:color w:val="000000"/>
        <w:sz w:val="20"/>
      </w:rPr>
    </w:pPr>
    <w:bookmarkStart w:id="8" w:name="TITUS1FooterFirstPage"/>
    <w:r w:rsidRPr="008116BB">
      <w:rPr>
        <w:rFonts w:ascii="Arial" w:hAnsi="Arial" w:cs="Arial"/>
        <w:color w:val="000000"/>
        <w:sz w:val="20"/>
      </w:rPr>
      <w:t> </w:t>
    </w:r>
  </w:p>
  <w:bookmarkEnd w:id="8" w:displacedByCustomXml="next"/>
  <w:sdt>
    <w:sdtPr>
      <w:id w:val="2145378857"/>
      <w:docPartObj>
        <w:docPartGallery w:val="Page Numbers (Bottom of Page)"/>
        <w:docPartUnique/>
      </w:docPartObj>
    </w:sdtPr>
    <w:sdtEndPr>
      <w:rPr>
        <w:noProof/>
      </w:rPr>
    </w:sdtEndPr>
    <w:sdtContent>
      <w:p w14:paraId="311242E0" w14:textId="33055663" w:rsidR="008116BB" w:rsidRDefault="008116BB">
        <w:pPr>
          <w:pStyle w:val="Footer"/>
          <w:jc w:val="center"/>
        </w:pPr>
        <w:r>
          <w:t xml:space="preserve">                                                                                  </w:t>
        </w:r>
        <w:r>
          <w:fldChar w:fldCharType="begin"/>
        </w:r>
        <w:r>
          <w:instrText xml:space="preserve"> PAGE   \* MERGEFORMAT </w:instrText>
        </w:r>
        <w:r>
          <w:fldChar w:fldCharType="separate"/>
        </w:r>
        <w:r w:rsidR="00A00463">
          <w:rPr>
            <w:noProof/>
          </w:rPr>
          <w:t>1</w:t>
        </w:r>
        <w:r>
          <w:rPr>
            <w:noProof/>
          </w:rPr>
          <w:fldChar w:fldCharType="end"/>
        </w:r>
        <w:r>
          <w:rPr>
            <w:noProof/>
          </w:rPr>
          <w:tab/>
        </w:r>
        <w:r>
          <w:rPr>
            <w:noProof/>
          </w:rPr>
          <w:tab/>
        </w:r>
        <w:r w:rsidR="00D24BDD">
          <w:rPr>
            <w:noProof/>
          </w:rPr>
          <w:t>19 November 2020</w:t>
        </w:r>
      </w:p>
    </w:sdtContent>
  </w:sdt>
  <w:p w14:paraId="249C6823" w14:textId="77777777" w:rsidR="008116BB" w:rsidRDefault="0081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C5DC" w14:textId="77777777" w:rsidR="0003618E" w:rsidRDefault="0003618E" w:rsidP="003E294E">
      <w:pPr>
        <w:spacing w:after="0" w:line="240" w:lineRule="auto"/>
      </w:pPr>
      <w:r>
        <w:separator/>
      </w:r>
    </w:p>
  </w:footnote>
  <w:footnote w:type="continuationSeparator" w:id="0">
    <w:p w14:paraId="3262E9F2" w14:textId="77777777" w:rsidR="0003618E" w:rsidRDefault="0003618E" w:rsidP="003E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938" w14:textId="43C632FF" w:rsidR="008116BB" w:rsidRPr="00A00463" w:rsidRDefault="008116BB" w:rsidP="00A00463">
    <w:pPr>
      <w:pStyle w:val="Header"/>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4D0" w14:textId="77777777" w:rsidR="008116BB" w:rsidRDefault="008116BB" w:rsidP="008116BB">
    <w:pPr>
      <w:pStyle w:val="Header"/>
      <w:jc w:val="center"/>
      <w:rPr>
        <w:rFonts w:ascii="Arial" w:hAnsi="Arial" w:cs="Arial"/>
        <w:color w:val="000000"/>
        <w:sz w:val="20"/>
      </w:rPr>
    </w:pPr>
    <w:bookmarkStart w:id="4" w:name="TITUS1HeaderPrimary"/>
    <w:r>
      <w:rPr>
        <w:rFonts w:ascii="Arial" w:hAnsi="Arial" w:cs="Arial"/>
        <w:color w:val="000000"/>
        <w:sz w:val="20"/>
      </w:rPr>
      <w:t> </w:t>
    </w:r>
  </w:p>
  <w:bookmarkEnd w:id="4"/>
  <w:p w14:paraId="1B5C665C" w14:textId="0C96FBB0" w:rsidR="00AA083F" w:rsidRDefault="00AA0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6D22" w14:textId="77777777" w:rsidR="008116BB" w:rsidRDefault="008116BB" w:rsidP="008116BB">
    <w:pPr>
      <w:pStyle w:val="Header"/>
      <w:jc w:val="center"/>
      <w:rPr>
        <w:rFonts w:ascii="Arial" w:hAnsi="Arial" w:cs="Arial"/>
        <w:color w:val="000000"/>
        <w:sz w:val="20"/>
      </w:rPr>
    </w:pPr>
    <w:bookmarkStart w:id="7" w:name="TITUS1HeaderFirstPage"/>
    <w:r>
      <w:rPr>
        <w:rFonts w:ascii="Arial" w:hAnsi="Arial" w:cs="Arial"/>
        <w:color w:val="000000"/>
        <w:sz w:val="20"/>
      </w:rPr>
      <w:t> </w:t>
    </w:r>
  </w:p>
  <w:bookmarkEnd w:id="7"/>
  <w:p w14:paraId="4DE593CF" w14:textId="259F2BB8" w:rsidR="008116BB" w:rsidRDefault="00811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3D5"/>
    <w:multiLevelType w:val="hybridMultilevel"/>
    <w:tmpl w:val="886C0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C2024"/>
    <w:multiLevelType w:val="hybridMultilevel"/>
    <w:tmpl w:val="8F04F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0D0501"/>
    <w:multiLevelType w:val="hybridMultilevel"/>
    <w:tmpl w:val="14429C58"/>
    <w:lvl w:ilvl="0" w:tplc="8208E8E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56ACD"/>
    <w:multiLevelType w:val="hybridMultilevel"/>
    <w:tmpl w:val="72D267C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D5610"/>
    <w:multiLevelType w:val="hybridMultilevel"/>
    <w:tmpl w:val="B382FC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F54CB"/>
    <w:multiLevelType w:val="hybridMultilevel"/>
    <w:tmpl w:val="61464E6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C0506"/>
    <w:multiLevelType w:val="hybridMultilevel"/>
    <w:tmpl w:val="285E242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584C5A"/>
    <w:multiLevelType w:val="hybridMultilevel"/>
    <w:tmpl w:val="24AC5B34"/>
    <w:lvl w:ilvl="0" w:tplc="08090001">
      <w:start w:val="1"/>
      <w:numFmt w:val="bullet"/>
      <w:lvlText w:val=""/>
      <w:lvlJc w:val="left"/>
      <w:pPr>
        <w:ind w:left="1440" w:hanging="360"/>
      </w:pPr>
      <w:rPr>
        <w:rFonts w:ascii="Symbol" w:hAnsi="Symbol" w:hint="default"/>
      </w:rPr>
    </w:lvl>
    <w:lvl w:ilvl="1" w:tplc="400EDFF6">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3C53A8"/>
    <w:multiLevelType w:val="hybridMultilevel"/>
    <w:tmpl w:val="CC8CD1FE"/>
    <w:lvl w:ilvl="0" w:tplc="9BD0082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73942"/>
    <w:multiLevelType w:val="hybridMultilevel"/>
    <w:tmpl w:val="FEDA866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1121C"/>
    <w:multiLevelType w:val="multilevel"/>
    <w:tmpl w:val="E58A9D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9C616AD"/>
    <w:multiLevelType w:val="hybridMultilevel"/>
    <w:tmpl w:val="3EF23A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8FF3292"/>
    <w:multiLevelType w:val="hybridMultilevel"/>
    <w:tmpl w:val="9C481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232D9C"/>
    <w:multiLevelType w:val="hybridMultilevel"/>
    <w:tmpl w:val="D22A12FA"/>
    <w:lvl w:ilvl="0" w:tplc="47EA5E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1A36EE0"/>
    <w:multiLevelType w:val="hybridMultilevel"/>
    <w:tmpl w:val="C6BA6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163622"/>
    <w:multiLevelType w:val="hybridMultilevel"/>
    <w:tmpl w:val="F0EAE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4419FD"/>
    <w:multiLevelType w:val="hybridMultilevel"/>
    <w:tmpl w:val="DD627384"/>
    <w:lvl w:ilvl="0" w:tplc="F9C0E874">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3686557">
    <w:abstractNumId w:val="0"/>
  </w:num>
  <w:num w:numId="2" w16cid:durableId="453794310">
    <w:abstractNumId w:val="16"/>
  </w:num>
  <w:num w:numId="3" w16cid:durableId="772407782">
    <w:abstractNumId w:val="15"/>
  </w:num>
  <w:num w:numId="4" w16cid:durableId="906382714">
    <w:abstractNumId w:val="1"/>
  </w:num>
  <w:num w:numId="5" w16cid:durableId="127283324">
    <w:abstractNumId w:val="13"/>
  </w:num>
  <w:num w:numId="6" w16cid:durableId="948512576">
    <w:abstractNumId w:val="10"/>
  </w:num>
  <w:num w:numId="7" w16cid:durableId="1558783583">
    <w:abstractNumId w:val="7"/>
  </w:num>
  <w:num w:numId="8" w16cid:durableId="1396321945">
    <w:abstractNumId w:val="6"/>
  </w:num>
  <w:num w:numId="9" w16cid:durableId="773791567">
    <w:abstractNumId w:val="12"/>
  </w:num>
  <w:num w:numId="10" w16cid:durableId="1163468698">
    <w:abstractNumId w:val="14"/>
  </w:num>
  <w:num w:numId="11" w16cid:durableId="1834905592">
    <w:abstractNumId w:val="4"/>
  </w:num>
  <w:num w:numId="12" w16cid:durableId="1226525988">
    <w:abstractNumId w:val="11"/>
  </w:num>
  <w:num w:numId="13" w16cid:durableId="175002397">
    <w:abstractNumId w:val="2"/>
  </w:num>
  <w:num w:numId="14" w16cid:durableId="1758137262">
    <w:abstractNumId w:val="5"/>
  </w:num>
  <w:num w:numId="15" w16cid:durableId="516774209">
    <w:abstractNumId w:val="8"/>
  </w:num>
  <w:num w:numId="16" w16cid:durableId="746925497">
    <w:abstractNumId w:val="9"/>
  </w:num>
  <w:num w:numId="17" w16cid:durableId="1766918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30"/>
    <w:rsid w:val="00011EF7"/>
    <w:rsid w:val="00015EDF"/>
    <w:rsid w:val="0003618E"/>
    <w:rsid w:val="00084B2B"/>
    <w:rsid w:val="00092231"/>
    <w:rsid w:val="000A6B50"/>
    <w:rsid w:val="000D4379"/>
    <w:rsid w:val="000E2729"/>
    <w:rsid w:val="001305D6"/>
    <w:rsid w:val="001310EC"/>
    <w:rsid w:val="0013380C"/>
    <w:rsid w:val="00140877"/>
    <w:rsid w:val="0014217A"/>
    <w:rsid w:val="001448E9"/>
    <w:rsid w:val="001836E2"/>
    <w:rsid w:val="001A3239"/>
    <w:rsid w:val="001D389B"/>
    <w:rsid w:val="001D7A74"/>
    <w:rsid w:val="001E680F"/>
    <w:rsid w:val="002000B4"/>
    <w:rsid w:val="00203220"/>
    <w:rsid w:val="002738D6"/>
    <w:rsid w:val="00291666"/>
    <w:rsid w:val="0029440F"/>
    <w:rsid w:val="002A2641"/>
    <w:rsid w:val="002C527D"/>
    <w:rsid w:val="00310C9D"/>
    <w:rsid w:val="00311334"/>
    <w:rsid w:val="00347C3E"/>
    <w:rsid w:val="003667E3"/>
    <w:rsid w:val="00372602"/>
    <w:rsid w:val="003C209E"/>
    <w:rsid w:val="003C4616"/>
    <w:rsid w:val="003E294E"/>
    <w:rsid w:val="003F6C57"/>
    <w:rsid w:val="003F7EF3"/>
    <w:rsid w:val="004251E5"/>
    <w:rsid w:val="00427A57"/>
    <w:rsid w:val="00465A23"/>
    <w:rsid w:val="004A493D"/>
    <w:rsid w:val="004C37C0"/>
    <w:rsid w:val="004C6B0B"/>
    <w:rsid w:val="004E1430"/>
    <w:rsid w:val="004F7FF4"/>
    <w:rsid w:val="00501E27"/>
    <w:rsid w:val="005835BA"/>
    <w:rsid w:val="005E591B"/>
    <w:rsid w:val="0060126F"/>
    <w:rsid w:val="00617FEE"/>
    <w:rsid w:val="0062073A"/>
    <w:rsid w:val="00621797"/>
    <w:rsid w:val="00665E46"/>
    <w:rsid w:val="0067649A"/>
    <w:rsid w:val="0069240E"/>
    <w:rsid w:val="006C3885"/>
    <w:rsid w:val="006E4341"/>
    <w:rsid w:val="006F12A2"/>
    <w:rsid w:val="0071249F"/>
    <w:rsid w:val="00712E4D"/>
    <w:rsid w:val="007147FB"/>
    <w:rsid w:val="00742732"/>
    <w:rsid w:val="007565A4"/>
    <w:rsid w:val="00762966"/>
    <w:rsid w:val="0076679C"/>
    <w:rsid w:val="00780622"/>
    <w:rsid w:val="00785AAD"/>
    <w:rsid w:val="007B1D15"/>
    <w:rsid w:val="007C63D2"/>
    <w:rsid w:val="007D2FC8"/>
    <w:rsid w:val="007D6534"/>
    <w:rsid w:val="007E4CDA"/>
    <w:rsid w:val="008116BB"/>
    <w:rsid w:val="00815D1B"/>
    <w:rsid w:val="00815F44"/>
    <w:rsid w:val="00826531"/>
    <w:rsid w:val="00864F42"/>
    <w:rsid w:val="00887E08"/>
    <w:rsid w:val="008C15B2"/>
    <w:rsid w:val="008F69ED"/>
    <w:rsid w:val="0090699C"/>
    <w:rsid w:val="00920107"/>
    <w:rsid w:val="00931633"/>
    <w:rsid w:val="0093260B"/>
    <w:rsid w:val="0094667D"/>
    <w:rsid w:val="00957314"/>
    <w:rsid w:val="009A737E"/>
    <w:rsid w:val="009E6ED2"/>
    <w:rsid w:val="00A00463"/>
    <w:rsid w:val="00A03E42"/>
    <w:rsid w:val="00A06962"/>
    <w:rsid w:val="00A115B6"/>
    <w:rsid w:val="00A246FF"/>
    <w:rsid w:val="00A44177"/>
    <w:rsid w:val="00A64AAB"/>
    <w:rsid w:val="00A7167A"/>
    <w:rsid w:val="00A91CE6"/>
    <w:rsid w:val="00A9612A"/>
    <w:rsid w:val="00AA083F"/>
    <w:rsid w:val="00AA4D0F"/>
    <w:rsid w:val="00AA6C00"/>
    <w:rsid w:val="00AA6E21"/>
    <w:rsid w:val="00AC03A5"/>
    <w:rsid w:val="00B0662B"/>
    <w:rsid w:val="00B1208D"/>
    <w:rsid w:val="00B1271E"/>
    <w:rsid w:val="00B158FC"/>
    <w:rsid w:val="00B30530"/>
    <w:rsid w:val="00B52F23"/>
    <w:rsid w:val="00B7636F"/>
    <w:rsid w:val="00B77E6F"/>
    <w:rsid w:val="00C1239F"/>
    <w:rsid w:val="00C13148"/>
    <w:rsid w:val="00C22479"/>
    <w:rsid w:val="00C252BF"/>
    <w:rsid w:val="00C355DF"/>
    <w:rsid w:val="00C61BF8"/>
    <w:rsid w:val="00C84523"/>
    <w:rsid w:val="00C909EB"/>
    <w:rsid w:val="00C97805"/>
    <w:rsid w:val="00CC20CD"/>
    <w:rsid w:val="00D0561B"/>
    <w:rsid w:val="00D24BDD"/>
    <w:rsid w:val="00D2603A"/>
    <w:rsid w:val="00D26974"/>
    <w:rsid w:val="00D35B7F"/>
    <w:rsid w:val="00D36FCB"/>
    <w:rsid w:val="00D55377"/>
    <w:rsid w:val="00D64D72"/>
    <w:rsid w:val="00D85797"/>
    <w:rsid w:val="00DF74BC"/>
    <w:rsid w:val="00E1687B"/>
    <w:rsid w:val="00E41DB2"/>
    <w:rsid w:val="00E709F3"/>
    <w:rsid w:val="00E7407D"/>
    <w:rsid w:val="00E77255"/>
    <w:rsid w:val="00E92C61"/>
    <w:rsid w:val="00EB2391"/>
    <w:rsid w:val="00EC6873"/>
    <w:rsid w:val="00EE59A8"/>
    <w:rsid w:val="00F136D6"/>
    <w:rsid w:val="00F21179"/>
    <w:rsid w:val="00F50668"/>
    <w:rsid w:val="00F82F2E"/>
    <w:rsid w:val="00FD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01C1E"/>
  <w15:docId w15:val="{8A4636A9-0705-4BD4-8AAC-F12735F4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9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69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30"/>
    <w:pPr>
      <w:ind w:left="720"/>
      <w:contextualSpacing/>
    </w:pPr>
  </w:style>
  <w:style w:type="character" w:styleId="Hyperlink">
    <w:name w:val="Hyperlink"/>
    <w:basedOn w:val="DefaultParagraphFont"/>
    <w:uiPriority w:val="99"/>
    <w:unhideWhenUsed/>
    <w:rsid w:val="00B30530"/>
    <w:rPr>
      <w:color w:val="0000FF" w:themeColor="hyperlink"/>
      <w:u w:val="single"/>
    </w:rPr>
  </w:style>
  <w:style w:type="character" w:customStyle="1" w:styleId="UnresolvedMention1">
    <w:name w:val="Unresolved Mention1"/>
    <w:basedOn w:val="DefaultParagraphFont"/>
    <w:uiPriority w:val="99"/>
    <w:semiHidden/>
    <w:unhideWhenUsed/>
    <w:rsid w:val="00B30530"/>
    <w:rPr>
      <w:color w:val="605E5C"/>
      <w:shd w:val="clear" w:color="auto" w:fill="E1DFDD"/>
    </w:rPr>
  </w:style>
  <w:style w:type="paragraph" w:styleId="NormalWeb">
    <w:name w:val="Normal (Web)"/>
    <w:basedOn w:val="Normal"/>
    <w:uiPriority w:val="99"/>
    <w:semiHidden/>
    <w:unhideWhenUsed/>
    <w:rsid w:val="003C20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E2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94E"/>
  </w:style>
  <w:style w:type="paragraph" w:styleId="Footer">
    <w:name w:val="footer"/>
    <w:basedOn w:val="Normal"/>
    <w:link w:val="FooterChar"/>
    <w:uiPriority w:val="99"/>
    <w:unhideWhenUsed/>
    <w:rsid w:val="003E2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94E"/>
  </w:style>
  <w:style w:type="table" w:styleId="TableGrid">
    <w:name w:val="Table Grid"/>
    <w:basedOn w:val="TableNormal"/>
    <w:uiPriority w:val="59"/>
    <w:rsid w:val="0014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34"/>
    <w:rPr>
      <w:rFonts w:ascii="Segoe UI" w:hAnsi="Segoe UI" w:cs="Segoe UI"/>
      <w:sz w:val="18"/>
      <w:szCs w:val="18"/>
    </w:rPr>
  </w:style>
  <w:style w:type="character" w:styleId="CommentReference">
    <w:name w:val="annotation reference"/>
    <w:basedOn w:val="DefaultParagraphFont"/>
    <w:uiPriority w:val="99"/>
    <w:semiHidden/>
    <w:unhideWhenUsed/>
    <w:rsid w:val="00621797"/>
    <w:rPr>
      <w:sz w:val="16"/>
      <w:szCs w:val="16"/>
    </w:rPr>
  </w:style>
  <w:style w:type="paragraph" w:styleId="CommentText">
    <w:name w:val="annotation text"/>
    <w:basedOn w:val="Normal"/>
    <w:link w:val="CommentTextChar"/>
    <w:uiPriority w:val="99"/>
    <w:semiHidden/>
    <w:unhideWhenUsed/>
    <w:rsid w:val="00621797"/>
    <w:pPr>
      <w:spacing w:line="240" w:lineRule="auto"/>
    </w:pPr>
    <w:rPr>
      <w:sz w:val="20"/>
      <w:szCs w:val="20"/>
    </w:rPr>
  </w:style>
  <w:style w:type="character" w:customStyle="1" w:styleId="CommentTextChar">
    <w:name w:val="Comment Text Char"/>
    <w:basedOn w:val="DefaultParagraphFont"/>
    <w:link w:val="CommentText"/>
    <w:uiPriority w:val="99"/>
    <w:semiHidden/>
    <w:rsid w:val="00621797"/>
    <w:rPr>
      <w:sz w:val="20"/>
      <w:szCs w:val="20"/>
    </w:rPr>
  </w:style>
  <w:style w:type="paragraph" w:styleId="CommentSubject">
    <w:name w:val="annotation subject"/>
    <w:basedOn w:val="CommentText"/>
    <w:next w:val="CommentText"/>
    <w:link w:val="CommentSubjectChar"/>
    <w:uiPriority w:val="99"/>
    <w:semiHidden/>
    <w:unhideWhenUsed/>
    <w:rsid w:val="00621797"/>
    <w:rPr>
      <w:b/>
      <w:bCs/>
    </w:rPr>
  </w:style>
  <w:style w:type="character" w:customStyle="1" w:styleId="CommentSubjectChar">
    <w:name w:val="Comment Subject Char"/>
    <w:basedOn w:val="CommentTextChar"/>
    <w:link w:val="CommentSubject"/>
    <w:uiPriority w:val="99"/>
    <w:semiHidden/>
    <w:rsid w:val="00621797"/>
    <w:rPr>
      <w:b/>
      <w:bCs/>
      <w:sz w:val="20"/>
      <w:szCs w:val="20"/>
    </w:rPr>
  </w:style>
  <w:style w:type="character" w:styleId="FollowedHyperlink">
    <w:name w:val="FollowedHyperlink"/>
    <w:basedOn w:val="DefaultParagraphFont"/>
    <w:uiPriority w:val="99"/>
    <w:semiHidden/>
    <w:unhideWhenUsed/>
    <w:rsid w:val="001305D6"/>
    <w:rPr>
      <w:color w:val="800080" w:themeColor="followedHyperlink"/>
      <w:u w:val="single"/>
    </w:rPr>
  </w:style>
  <w:style w:type="character" w:customStyle="1" w:styleId="Heading1Char">
    <w:name w:val="Heading 1 Char"/>
    <w:basedOn w:val="DefaultParagraphFont"/>
    <w:link w:val="Heading1"/>
    <w:uiPriority w:val="9"/>
    <w:rsid w:val="008F69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69E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F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764">
      <w:bodyDiv w:val="1"/>
      <w:marLeft w:val="0"/>
      <w:marRight w:val="0"/>
      <w:marTop w:val="0"/>
      <w:marBottom w:val="0"/>
      <w:divBdr>
        <w:top w:val="none" w:sz="0" w:space="0" w:color="auto"/>
        <w:left w:val="none" w:sz="0" w:space="0" w:color="auto"/>
        <w:bottom w:val="none" w:sz="0" w:space="0" w:color="auto"/>
        <w:right w:val="none" w:sz="0" w:space="0" w:color="auto"/>
      </w:divBdr>
    </w:div>
    <w:div w:id="827942435">
      <w:bodyDiv w:val="1"/>
      <w:marLeft w:val="0"/>
      <w:marRight w:val="0"/>
      <w:marTop w:val="0"/>
      <w:marBottom w:val="0"/>
      <w:divBdr>
        <w:top w:val="none" w:sz="0" w:space="0" w:color="auto"/>
        <w:left w:val="none" w:sz="0" w:space="0" w:color="auto"/>
        <w:bottom w:val="none" w:sz="0" w:space="0" w:color="auto"/>
        <w:right w:val="none" w:sz="0" w:space="0" w:color="auto"/>
      </w:divBdr>
    </w:div>
    <w:div w:id="907308149">
      <w:bodyDiv w:val="1"/>
      <w:marLeft w:val="0"/>
      <w:marRight w:val="0"/>
      <w:marTop w:val="0"/>
      <w:marBottom w:val="0"/>
      <w:divBdr>
        <w:top w:val="none" w:sz="0" w:space="0" w:color="auto"/>
        <w:left w:val="none" w:sz="0" w:space="0" w:color="auto"/>
        <w:bottom w:val="none" w:sz="0" w:space="0" w:color="auto"/>
        <w:right w:val="none" w:sz="0" w:space="0" w:color="auto"/>
      </w:divBdr>
      <w:divsChild>
        <w:div w:id="590818912">
          <w:marLeft w:val="0"/>
          <w:marRight w:val="0"/>
          <w:marTop w:val="0"/>
          <w:marBottom w:val="0"/>
          <w:divBdr>
            <w:top w:val="none" w:sz="0" w:space="0" w:color="auto"/>
            <w:left w:val="none" w:sz="0" w:space="0" w:color="auto"/>
            <w:bottom w:val="none" w:sz="0" w:space="0" w:color="auto"/>
            <w:right w:val="none" w:sz="0" w:space="0" w:color="auto"/>
          </w:divBdr>
          <w:divsChild>
            <w:div w:id="303505721">
              <w:marLeft w:val="0"/>
              <w:marRight w:val="0"/>
              <w:marTop w:val="0"/>
              <w:marBottom w:val="0"/>
              <w:divBdr>
                <w:top w:val="none" w:sz="0" w:space="0" w:color="auto"/>
                <w:left w:val="none" w:sz="0" w:space="0" w:color="auto"/>
                <w:bottom w:val="none" w:sz="0" w:space="0" w:color="auto"/>
                <w:right w:val="none" w:sz="0" w:space="0" w:color="auto"/>
              </w:divBdr>
              <w:divsChild>
                <w:div w:id="621616587">
                  <w:marLeft w:val="0"/>
                  <w:marRight w:val="0"/>
                  <w:marTop w:val="0"/>
                  <w:marBottom w:val="0"/>
                  <w:divBdr>
                    <w:top w:val="none" w:sz="0" w:space="0" w:color="auto"/>
                    <w:left w:val="none" w:sz="0" w:space="0" w:color="auto"/>
                    <w:bottom w:val="none" w:sz="0" w:space="0" w:color="auto"/>
                    <w:right w:val="none" w:sz="0" w:space="0" w:color="auto"/>
                  </w:divBdr>
                  <w:divsChild>
                    <w:div w:id="996223964">
                      <w:marLeft w:val="0"/>
                      <w:marRight w:val="0"/>
                      <w:marTop w:val="0"/>
                      <w:marBottom w:val="0"/>
                      <w:divBdr>
                        <w:top w:val="none" w:sz="0" w:space="0" w:color="auto"/>
                        <w:left w:val="none" w:sz="0" w:space="0" w:color="auto"/>
                        <w:bottom w:val="none" w:sz="0" w:space="0" w:color="auto"/>
                        <w:right w:val="none" w:sz="0" w:space="0" w:color="auto"/>
                      </w:divBdr>
                      <w:divsChild>
                        <w:div w:id="1282303528">
                          <w:marLeft w:val="0"/>
                          <w:marRight w:val="0"/>
                          <w:marTop w:val="0"/>
                          <w:marBottom w:val="0"/>
                          <w:divBdr>
                            <w:top w:val="none" w:sz="0" w:space="0" w:color="auto"/>
                            <w:left w:val="none" w:sz="0" w:space="0" w:color="auto"/>
                            <w:bottom w:val="none" w:sz="0" w:space="0" w:color="auto"/>
                            <w:right w:val="none" w:sz="0" w:space="0" w:color="auto"/>
                          </w:divBdr>
                          <w:divsChild>
                            <w:div w:id="4508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6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high-needs-funding-arrangements-2021-to-2022" TargetMode="External"/><Relationship Id="rId4" Type="http://schemas.openxmlformats.org/officeDocument/2006/relationships/settings" Target="settings.xml"/><Relationship Id="rId9" Type="http://schemas.openxmlformats.org/officeDocument/2006/relationships/hyperlink" Target="https://suffolklearning.com/inclusion/high-needs-fund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8799-7D34-4068-A4D7-216B0E10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Morgan</dc:creator>
  <cp:keywords/>
  <dc:description/>
  <cp:lastModifiedBy>Ben Scarfe</cp:lastModifiedBy>
  <cp:revision>3</cp:revision>
  <cp:lastPrinted>2019-07-02T07:29:00Z</cp:lastPrinted>
  <dcterms:created xsi:type="dcterms:W3CDTF">2022-05-12T11:20:00Z</dcterms:created>
  <dcterms:modified xsi:type="dcterms:W3CDTF">2022-05-12T11:30:00Z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41f2ac3b-acac-4d9f-ac2e-37e069dd328c</vt:lpwstr>
  </property>
  <property fmtid="{D5CDD505-2E9C-101B-9397-08002B2CF9AE}" pid="3" name="THALESClassification">
    <vt:lpwstr>TCA</vt:lpwstr>
  </property>
  <property fmtid="{D5CDD505-2E9C-101B-9397-08002B2CF9AE}" pid="4" name="Sensitivity">
    <vt:lpwstr>TGO</vt:lpwstr>
  </property>
  <property fmtid="{D5CDD505-2E9C-101B-9397-08002B2CF9AE}" pid="5" name="PD">
    <vt:lpwstr>PDN</vt:lpwstr>
  </property>
  <property fmtid="{D5CDD505-2E9C-101B-9397-08002B2CF9AE}" pid="6" name="EC">
    <vt:lpwstr>ECNA</vt:lpwstr>
  </property>
  <property fmtid="{D5CDD505-2E9C-101B-9397-08002B2CF9AE}" pid="7" name="LC">
    <vt:lpwstr>LCNA</vt:lpwstr>
  </property>
  <property fmtid="{D5CDD505-2E9C-101B-9397-08002B2CF9AE}" pid="8" name="AppHF">
    <vt:lpwstr>AHFN</vt:lpwstr>
  </property>
</Properties>
</file>