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4521" w14:textId="4E43C5E3" w:rsidR="00A24A2C" w:rsidRDefault="00DB5060" w:rsidP="00082C2E">
      <w:pPr>
        <w:jc w:val="center"/>
        <w:rPr>
          <w:b/>
          <w:sz w:val="28"/>
        </w:rPr>
      </w:pPr>
      <w:r>
        <w:rPr>
          <w:b/>
          <w:sz w:val="28"/>
        </w:rPr>
        <w:t xml:space="preserve">Schools’ guide to </w:t>
      </w:r>
      <w:bookmarkStart w:id="0" w:name="_GoBack"/>
      <w:r w:rsidRPr="00464BF3">
        <w:rPr>
          <w:b/>
          <w:color w:val="FF0000"/>
          <w:sz w:val="28"/>
        </w:rPr>
        <w:t>p</w:t>
      </w:r>
      <w:r w:rsidR="00082C2E" w:rsidRPr="00464BF3">
        <w:rPr>
          <w:b/>
          <w:color w:val="FF0000"/>
          <w:sz w:val="28"/>
        </w:rPr>
        <w:t>rofessional</w:t>
      </w:r>
      <w:bookmarkEnd w:id="0"/>
      <w:r w:rsidR="00082C2E" w:rsidRPr="00082C2E">
        <w:rPr>
          <w:b/>
          <w:sz w:val="28"/>
        </w:rPr>
        <w:t xml:space="preserve"> fire precaution checks – frequencies and </w:t>
      </w:r>
      <w:r w:rsidR="00C63017">
        <w:rPr>
          <w:b/>
          <w:sz w:val="28"/>
        </w:rPr>
        <w:t>items</w:t>
      </w:r>
    </w:p>
    <w:tbl>
      <w:tblPr>
        <w:tblStyle w:val="TableGrid"/>
        <w:tblW w:w="15026" w:type="dxa"/>
        <w:tblInd w:w="-714" w:type="dxa"/>
        <w:tblLook w:val="04A0" w:firstRow="1" w:lastRow="0" w:firstColumn="1" w:lastColumn="0" w:noHBand="0" w:noVBand="1"/>
      </w:tblPr>
      <w:tblGrid>
        <w:gridCol w:w="1447"/>
        <w:gridCol w:w="2466"/>
        <w:gridCol w:w="1656"/>
        <w:gridCol w:w="1776"/>
        <w:gridCol w:w="2038"/>
        <w:gridCol w:w="2298"/>
        <w:gridCol w:w="3345"/>
      </w:tblGrid>
      <w:tr w:rsidR="0066702B" w:rsidRPr="00A24CD7" w14:paraId="52A78617" w14:textId="77777777" w:rsidTr="0066702B">
        <w:trPr>
          <w:trHeight w:val="1167"/>
        </w:trPr>
        <w:tc>
          <w:tcPr>
            <w:tcW w:w="1447" w:type="dxa"/>
            <w:shd w:val="clear" w:color="auto" w:fill="F7CAAC" w:themeFill="accent2" w:themeFillTint="66"/>
          </w:tcPr>
          <w:p w14:paraId="30C11CF6" w14:textId="24FDF1CA" w:rsidR="003045FB" w:rsidRPr="00A24CD7" w:rsidRDefault="003045FB" w:rsidP="001D158C">
            <w:pPr>
              <w:rPr>
                <w:b/>
              </w:rPr>
            </w:pPr>
            <w:r w:rsidRPr="00A24CD7">
              <w:rPr>
                <w:b/>
              </w:rPr>
              <w:t xml:space="preserve">Item to </w:t>
            </w:r>
            <w:r>
              <w:rPr>
                <w:b/>
              </w:rPr>
              <w:t>be tested or inspected</w:t>
            </w:r>
          </w:p>
        </w:tc>
        <w:tc>
          <w:tcPr>
            <w:tcW w:w="2466" w:type="dxa"/>
          </w:tcPr>
          <w:p w14:paraId="7B80DB69" w14:textId="77777777" w:rsidR="003045FB" w:rsidRPr="00C63017" w:rsidRDefault="003045FB" w:rsidP="001D158C">
            <w:pPr>
              <w:rPr>
                <w:b/>
                <w:sz w:val="24"/>
                <w:szCs w:val="24"/>
              </w:rPr>
            </w:pPr>
            <w:r w:rsidRPr="00C63017">
              <w:rPr>
                <w:b/>
                <w:sz w:val="24"/>
                <w:szCs w:val="24"/>
              </w:rPr>
              <w:t>Extinguishers and blankets</w:t>
            </w:r>
          </w:p>
        </w:tc>
        <w:tc>
          <w:tcPr>
            <w:tcW w:w="1656" w:type="dxa"/>
          </w:tcPr>
          <w:p w14:paraId="196E4761" w14:textId="77777777" w:rsidR="003045FB" w:rsidRPr="00C63017" w:rsidRDefault="003045FB" w:rsidP="001D158C">
            <w:pPr>
              <w:rPr>
                <w:b/>
                <w:sz w:val="24"/>
                <w:szCs w:val="24"/>
              </w:rPr>
            </w:pPr>
            <w:r w:rsidRPr="00C63017">
              <w:rPr>
                <w:b/>
                <w:sz w:val="24"/>
                <w:szCs w:val="24"/>
              </w:rPr>
              <w:t>Emergency lighting</w:t>
            </w:r>
          </w:p>
        </w:tc>
        <w:tc>
          <w:tcPr>
            <w:tcW w:w="1776" w:type="dxa"/>
          </w:tcPr>
          <w:p w14:paraId="5AE73E4A" w14:textId="77777777" w:rsidR="003045FB" w:rsidRPr="00C63017" w:rsidRDefault="003045FB" w:rsidP="001D158C">
            <w:pPr>
              <w:rPr>
                <w:b/>
                <w:sz w:val="24"/>
                <w:szCs w:val="24"/>
              </w:rPr>
            </w:pPr>
            <w:r w:rsidRPr="00C63017">
              <w:rPr>
                <w:b/>
                <w:sz w:val="24"/>
                <w:szCs w:val="24"/>
              </w:rPr>
              <w:t>Smoke detectors and heat detectors</w:t>
            </w:r>
          </w:p>
        </w:tc>
        <w:tc>
          <w:tcPr>
            <w:tcW w:w="2038" w:type="dxa"/>
          </w:tcPr>
          <w:p w14:paraId="744D755F" w14:textId="77777777" w:rsidR="003045FB" w:rsidRPr="00C63017" w:rsidRDefault="003045FB" w:rsidP="001D158C">
            <w:pPr>
              <w:rPr>
                <w:b/>
                <w:sz w:val="24"/>
                <w:szCs w:val="24"/>
              </w:rPr>
            </w:pPr>
            <w:r w:rsidRPr="00C63017">
              <w:rPr>
                <w:b/>
                <w:sz w:val="24"/>
                <w:szCs w:val="24"/>
              </w:rPr>
              <w:t>Fire alarm and fire panel testing</w:t>
            </w:r>
          </w:p>
        </w:tc>
        <w:tc>
          <w:tcPr>
            <w:tcW w:w="2298" w:type="dxa"/>
          </w:tcPr>
          <w:p w14:paraId="4760E718" w14:textId="77777777" w:rsidR="003045FB" w:rsidRPr="00C63017" w:rsidRDefault="003045FB" w:rsidP="001D158C">
            <w:pPr>
              <w:rPr>
                <w:b/>
                <w:sz w:val="24"/>
                <w:szCs w:val="24"/>
              </w:rPr>
            </w:pPr>
            <w:r w:rsidRPr="00C63017">
              <w:rPr>
                <w:b/>
                <w:sz w:val="24"/>
                <w:szCs w:val="24"/>
              </w:rPr>
              <w:t>Call points</w:t>
            </w:r>
          </w:p>
        </w:tc>
        <w:tc>
          <w:tcPr>
            <w:tcW w:w="3345" w:type="dxa"/>
          </w:tcPr>
          <w:p w14:paraId="6B8E7190" w14:textId="1CD91F58" w:rsidR="003045FB" w:rsidRPr="00C63017" w:rsidRDefault="003045FB" w:rsidP="001D158C">
            <w:pPr>
              <w:rPr>
                <w:b/>
                <w:sz w:val="24"/>
                <w:szCs w:val="24"/>
              </w:rPr>
            </w:pPr>
            <w:r w:rsidRPr="00C63017">
              <w:rPr>
                <w:b/>
                <w:sz w:val="24"/>
                <w:szCs w:val="24"/>
              </w:rPr>
              <w:t>Sprinkler systems</w:t>
            </w:r>
          </w:p>
        </w:tc>
      </w:tr>
      <w:tr w:rsidR="0066702B" w:rsidRPr="00A24CD7" w14:paraId="4D53E818" w14:textId="77777777" w:rsidTr="0066702B">
        <w:trPr>
          <w:trHeight w:val="558"/>
        </w:trPr>
        <w:tc>
          <w:tcPr>
            <w:tcW w:w="1447" w:type="dxa"/>
            <w:shd w:val="clear" w:color="auto" w:fill="F7CAAC" w:themeFill="accent2" w:themeFillTint="66"/>
          </w:tcPr>
          <w:p w14:paraId="7FD00608" w14:textId="77777777" w:rsidR="003045FB" w:rsidRPr="00A24CD7" w:rsidRDefault="003045FB" w:rsidP="001D158C">
            <w:pPr>
              <w:rPr>
                <w:b/>
              </w:rPr>
            </w:pPr>
            <w:r w:rsidRPr="00A24CD7">
              <w:rPr>
                <w:b/>
              </w:rPr>
              <w:t>Frequency</w:t>
            </w:r>
          </w:p>
        </w:tc>
        <w:tc>
          <w:tcPr>
            <w:tcW w:w="2466" w:type="dxa"/>
            <w:shd w:val="clear" w:color="auto" w:fill="92D050"/>
          </w:tcPr>
          <w:p w14:paraId="6A844D66" w14:textId="7D573927" w:rsidR="003045FB" w:rsidRPr="00C63017" w:rsidRDefault="003045FB" w:rsidP="001D158C">
            <w:pPr>
              <w:rPr>
                <w:b/>
                <w:sz w:val="24"/>
                <w:szCs w:val="24"/>
              </w:rPr>
            </w:pPr>
            <w:r w:rsidRPr="00C63017">
              <w:rPr>
                <w:b/>
                <w:sz w:val="24"/>
                <w:szCs w:val="24"/>
              </w:rPr>
              <w:t>Yearly</w:t>
            </w:r>
          </w:p>
        </w:tc>
        <w:tc>
          <w:tcPr>
            <w:tcW w:w="1656" w:type="dxa"/>
            <w:shd w:val="clear" w:color="auto" w:fill="92D050"/>
          </w:tcPr>
          <w:p w14:paraId="709A42DB" w14:textId="4C7C6222" w:rsidR="003045FB" w:rsidRPr="00C63017" w:rsidRDefault="003045FB" w:rsidP="001D158C">
            <w:pPr>
              <w:rPr>
                <w:b/>
                <w:sz w:val="24"/>
                <w:szCs w:val="24"/>
              </w:rPr>
            </w:pPr>
            <w:r w:rsidRPr="00C63017">
              <w:rPr>
                <w:b/>
                <w:sz w:val="24"/>
                <w:szCs w:val="24"/>
              </w:rPr>
              <w:t>Yearly</w:t>
            </w:r>
          </w:p>
        </w:tc>
        <w:tc>
          <w:tcPr>
            <w:tcW w:w="1776" w:type="dxa"/>
            <w:shd w:val="clear" w:color="auto" w:fill="92D050"/>
          </w:tcPr>
          <w:p w14:paraId="4D4E9BF8" w14:textId="551DDAC7" w:rsidR="003045FB" w:rsidRPr="00C63017" w:rsidRDefault="003045FB" w:rsidP="001D158C">
            <w:pPr>
              <w:rPr>
                <w:b/>
                <w:sz w:val="24"/>
                <w:szCs w:val="24"/>
              </w:rPr>
            </w:pPr>
            <w:r w:rsidRPr="00C63017">
              <w:rPr>
                <w:b/>
                <w:sz w:val="24"/>
                <w:szCs w:val="24"/>
              </w:rPr>
              <w:t>Six monthly</w:t>
            </w:r>
          </w:p>
        </w:tc>
        <w:tc>
          <w:tcPr>
            <w:tcW w:w="2038" w:type="dxa"/>
            <w:shd w:val="clear" w:color="auto" w:fill="92D050"/>
          </w:tcPr>
          <w:p w14:paraId="5BC25840" w14:textId="489BD070" w:rsidR="003045FB" w:rsidRPr="00C63017" w:rsidRDefault="00464BF3" w:rsidP="001D158C">
            <w:pPr>
              <w:rPr>
                <w:b/>
                <w:sz w:val="24"/>
                <w:szCs w:val="24"/>
              </w:rPr>
            </w:pPr>
            <w:r>
              <w:rPr>
                <w:b/>
                <w:sz w:val="24"/>
                <w:szCs w:val="24"/>
              </w:rPr>
              <w:t>Quarterly for batteries and six monthly / yearly for other parts</w:t>
            </w:r>
          </w:p>
        </w:tc>
        <w:tc>
          <w:tcPr>
            <w:tcW w:w="2298" w:type="dxa"/>
            <w:shd w:val="clear" w:color="auto" w:fill="92D050"/>
          </w:tcPr>
          <w:p w14:paraId="797A7BC3" w14:textId="09474624" w:rsidR="003045FB" w:rsidRPr="00C63017" w:rsidRDefault="003045FB" w:rsidP="001D158C">
            <w:pPr>
              <w:rPr>
                <w:b/>
                <w:sz w:val="24"/>
                <w:szCs w:val="24"/>
              </w:rPr>
            </w:pPr>
            <w:r w:rsidRPr="00C63017">
              <w:rPr>
                <w:b/>
                <w:sz w:val="24"/>
                <w:szCs w:val="24"/>
              </w:rPr>
              <w:t>Yearly</w:t>
            </w:r>
          </w:p>
        </w:tc>
        <w:tc>
          <w:tcPr>
            <w:tcW w:w="3345" w:type="dxa"/>
            <w:shd w:val="clear" w:color="auto" w:fill="92D050"/>
          </w:tcPr>
          <w:p w14:paraId="6AEAD0AA" w14:textId="66B3C859" w:rsidR="003045FB" w:rsidRPr="00C63017" w:rsidRDefault="00464BF3" w:rsidP="001D158C">
            <w:pPr>
              <w:rPr>
                <w:b/>
                <w:sz w:val="24"/>
                <w:szCs w:val="24"/>
              </w:rPr>
            </w:pPr>
            <w:r>
              <w:rPr>
                <w:b/>
                <w:sz w:val="24"/>
                <w:szCs w:val="24"/>
              </w:rPr>
              <w:t>Six monthly</w:t>
            </w:r>
          </w:p>
        </w:tc>
      </w:tr>
      <w:tr w:rsidR="00C63017" w:rsidRPr="00A24CD7" w14:paraId="6EB02519" w14:textId="77777777" w:rsidTr="00141D9F">
        <w:trPr>
          <w:trHeight w:val="1709"/>
        </w:trPr>
        <w:tc>
          <w:tcPr>
            <w:tcW w:w="1447" w:type="dxa"/>
            <w:shd w:val="clear" w:color="auto" w:fill="F7CAAC" w:themeFill="accent2" w:themeFillTint="66"/>
          </w:tcPr>
          <w:p w14:paraId="05E3400F" w14:textId="7DC2ACFA" w:rsidR="00C63017" w:rsidRPr="00A24CD7" w:rsidRDefault="00C63017" w:rsidP="001D158C">
            <w:pPr>
              <w:rPr>
                <w:b/>
              </w:rPr>
            </w:pPr>
            <w:r w:rsidRPr="00A24CD7">
              <w:rPr>
                <w:b/>
              </w:rPr>
              <w:t xml:space="preserve">How </w:t>
            </w:r>
            <w:r>
              <w:rPr>
                <w:b/>
              </w:rPr>
              <w:t>should I expect the test to be recorded?</w:t>
            </w:r>
          </w:p>
          <w:p w14:paraId="7A1D22E3" w14:textId="77777777" w:rsidR="00C63017" w:rsidRPr="00A24CD7" w:rsidRDefault="00C63017" w:rsidP="001D158C">
            <w:pPr>
              <w:rPr>
                <w:b/>
              </w:rPr>
            </w:pPr>
          </w:p>
        </w:tc>
        <w:tc>
          <w:tcPr>
            <w:tcW w:w="2466" w:type="dxa"/>
          </w:tcPr>
          <w:p w14:paraId="329F46BF" w14:textId="77777777" w:rsidR="00C63017" w:rsidRPr="00C63017" w:rsidRDefault="00C63017" w:rsidP="001D158C">
            <w:pPr>
              <w:rPr>
                <w:sz w:val="24"/>
                <w:szCs w:val="24"/>
              </w:rPr>
            </w:pPr>
            <w:r w:rsidRPr="00C63017">
              <w:rPr>
                <w:sz w:val="24"/>
                <w:szCs w:val="24"/>
              </w:rPr>
              <w:t>Date of check should be added to the item’s sticker – may look like this:</w:t>
            </w:r>
          </w:p>
          <w:p w14:paraId="5C1456D6" w14:textId="313189BC" w:rsidR="00C63017" w:rsidRPr="00C63017" w:rsidRDefault="00C63017" w:rsidP="001D158C">
            <w:pPr>
              <w:rPr>
                <w:sz w:val="24"/>
                <w:szCs w:val="24"/>
              </w:rPr>
            </w:pPr>
            <w:r w:rsidRPr="00C63017">
              <w:rPr>
                <w:noProof/>
                <w:sz w:val="24"/>
                <w:szCs w:val="24"/>
              </w:rPr>
              <w:drawing>
                <wp:inline distT="0" distB="0" distL="0" distR="0" wp14:anchorId="547DBE06" wp14:editId="17D023B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inguisher check sticker example.pn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c>
          <w:tcPr>
            <w:tcW w:w="11113" w:type="dxa"/>
            <w:gridSpan w:val="5"/>
          </w:tcPr>
          <w:p w14:paraId="363B4521" w14:textId="77777777" w:rsidR="00C63017" w:rsidRDefault="00C63017" w:rsidP="001D158C">
            <w:pPr>
              <w:rPr>
                <w:sz w:val="24"/>
                <w:szCs w:val="24"/>
              </w:rPr>
            </w:pPr>
          </w:p>
          <w:p w14:paraId="3A894EA8" w14:textId="77777777" w:rsidR="00C63017" w:rsidRDefault="00C63017" w:rsidP="001D158C">
            <w:pPr>
              <w:rPr>
                <w:sz w:val="24"/>
                <w:szCs w:val="24"/>
              </w:rPr>
            </w:pPr>
            <w:r>
              <w:rPr>
                <w:sz w:val="24"/>
                <w:szCs w:val="24"/>
              </w:rPr>
              <w:t>The inspector should give you a document to say that the item has passed its check.  Please file this in your fire log book</w:t>
            </w:r>
            <w:r w:rsidR="004B6869">
              <w:rPr>
                <w:sz w:val="24"/>
                <w:szCs w:val="24"/>
              </w:rPr>
              <w:t xml:space="preserve"> or ‘Fire File’.</w:t>
            </w:r>
            <w:r>
              <w:rPr>
                <w:sz w:val="24"/>
                <w:szCs w:val="24"/>
              </w:rPr>
              <w:t xml:space="preserve">  In </w:t>
            </w:r>
            <w:r w:rsidR="00A32385">
              <w:rPr>
                <w:sz w:val="24"/>
                <w:szCs w:val="24"/>
              </w:rPr>
              <w:t>addition,</w:t>
            </w:r>
            <w:r>
              <w:rPr>
                <w:sz w:val="24"/>
                <w:szCs w:val="24"/>
              </w:rPr>
              <w:t xml:space="preserve"> and to assist your clarity of diarising the next inspection, you </w:t>
            </w:r>
            <w:r w:rsidR="006A2FD5">
              <w:rPr>
                <w:sz w:val="24"/>
                <w:szCs w:val="24"/>
              </w:rPr>
              <w:t>should note the inspection</w:t>
            </w:r>
            <w:r>
              <w:rPr>
                <w:sz w:val="24"/>
                <w:szCs w:val="24"/>
              </w:rPr>
              <w:t xml:space="preserve"> within the fire log book with the date and your</w:t>
            </w:r>
            <w:r w:rsidRPr="00C63017">
              <w:rPr>
                <w:sz w:val="24"/>
                <w:szCs w:val="24"/>
              </w:rPr>
              <w:t xml:space="preserve"> initials / signature</w:t>
            </w:r>
            <w:r>
              <w:rPr>
                <w:sz w:val="24"/>
                <w:szCs w:val="24"/>
              </w:rPr>
              <w:t>.</w:t>
            </w:r>
            <w:r w:rsidR="00A32385">
              <w:rPr>
                <w:sz w:val="24"/>
                <w:szCs w:val="24"/>
              </w:rPr>
              <w:t xml:space="preserve">  </w:t>
            </w:r>
            <w:r w:rsidR="006A2FD5">
              <w:rPr>
                <w:sz w:val="24"/>
                <w:szCs w:val="24"/>
              </w:rPr>
              <w:t xml:space="preserve">The Suffolk Fire and Rescue Service log book details this, which can be found at: </w:t>
            </w:r>
            <w:hyperlink r:id="rId8" w:history="1">
              <w:r w:rsidR="006A2FD5" w:rsidRPr="007A49CA">
                <w:rPr>
                  <w:rStyle w:val="Hyperlink"/>
                  <w:sz w:val="24"/>
                  <w:szCs w:val="24"/>
                </w:rPr>
                <w:t>https://www.suffolklearning.co.uk/leadership-staff-development/health-safety-wellbeing/fire-precaution-information</w:t>
              </w:r>
            </w:hyperlink>
            <w:r w:rsidR="006A2FD5">
              <w:rPr>
                <w:sz w:val="24"/>
                <w:szCs w:val="24"/>
              </w:rPr>
              <w:t xml:space="preserve"> </w:t>
            </w:r>
          </w:p>
          <w:p w14:paraId="22AB6FAB" w14:textId="77777777" w:rsidR="00464BF3" w:rsidRDefault="00464BF3" w:rsidP="001D158C">
            <w:pPr>
              <w:rPr>
                <w:sz w:val="24"/>
                <w:szCs w:val="24"/>
              </w:rPr>
            </w:pPr>
          </w:p>
          <w:p w14:paraId="0F273886" w14:textId="60B8BE60" w:rsidR="00464BF3" w:rsidRPr="00C63017" w:rsidRDefault="00464BF3" w:rsidP="001D158C">
            <w:pPr>
              <w:rPr>
                <w:sz w:val="24"/>
                <w:szCs w:val="24"/>
              </w:rPr>
            </w:pPr>
            <w:r>
              <w:rPr>
                <w:sz w:val="24"/>
                <w:szCs w:val="24"/>
              </w:rPr>
              <w:t>Dates of professional checks for ‘users’ and ‘competent persons’ (i.e., the professional) can all be found in the SFRS log book in addition to this sheet.</w:t>
            </w:r>
          </w:p>
        </w:tc>
      </w:tr>
      <w:tr w:rsidR="0066702B" w14:paraId="6AE8C5B4" w14:textId="77777777" w:rsidTr="00C63017">
        <w:trPr>
          <w:trHeight w:val="1259"/>
        </w:trPr>
        <w:tc>
          <w:tcPr>
            <w:tcW w:w="1447" w:type="dxa"/>
            <w:shd w:val="clear" w:color="auto" w:fill="F7CAAC" w:themeFill="accent2" w:themeFillTint="66"/>
          </w:tcPr>
          <w:p w14:paraId="5361C9D7" w14:textId="670ED12B" w:rsidR="0066702B" w:rsidRPr="00B64E3C" w:rsidRDefault="0066702B" w:rsidP="00C63017">
            <w:pPr>
              <w:rPr>
                <w:b/>
                <w:sz w:val="24"/>
              </w:rPr>
            </w:pPr>
            <w:r w:rsidRPr="00B64E3C">
              <w:rPr>
                <w:b/>
                <w:sz w:val="24"/>
              </w:rPr>
              <w:t>Who can carry out this check?</w:t>
            </w:r>
          </w:p>
        </w:tc>
        <w:tc>
          <w:tcPr>
            <w:tcW w:w="13579" w:type="dxa"/>
            <w:gridSpan w:val="6"/>
          </w:tcPr>
          <w:p w14:paraId="511D44E4" w14:textId="7C058216" w:rsidR="0066702B" w:rsidRPr="00C63017" w:rsidRDefault="0066702B" w:rsidP="00A32385">
            <w:pPr>
              <w:jc w:val="both"/>
              <w:rPr>
                <w:sz w:val="24"/>
                <w:szCs w:val="24"/>
              </w:rPr>
            </w:pPr>
            <w:r w:rsidRPr="00C63017">
              <w:rPr>
                <w:sz w:val="24"/>
                <w:szCs w:val="24"/>
              </w:rPr>
              <w:t>There are any number of companies who can carry out these checks.  Schools are at liberty to choose who they have to do these checks, but they must be registered and approved by an overarching body such as the</w:t>
            </w:r>
            <w:r w:rsidR="00464BF3">
              <w:rPr>
                <w:sz w:val="24"/>
                <w:szCs w:val="24"/>
              </w:rPr>
              <w:t xml:space="preserve"> IFE,</w:t>
            </w:r>
            <w:r w:rsidRPr="00C63017">
              <w:rPr>
                <w:sz w:val="24"/>
                <w:szCs w:val="24"/>
              </w:rPr>
              <w:t xml:space="preserve"> BAFE</w:t>
            </w:r>
            <w:r w:rsidR="00464BF3">
              <w:rPr>
                <w:sz w:val="24"/>
                <w:szCs w:val="24"/>
              </w:rPr>
              <w:t xml:space="preserve"> or other professional bodies,</w:t>
            </w:r>
            <w:r w:rsidR="003827D0" w:rsidRPr="00C63017">
              <w:rPr>
                <w:sz w:val="24"/>
                <w:szCs w:val="24"/>
              </w:rPr>
              <w:t xml:space="preserve"> which means they will be independently audited and</w:t>
            </w:r>
            <w:r w:rsidR="00C63017" w:rsidRPr="00C63017">
              <w:rPr>
                <w:sz w:val="24"/>
                <w:szCs w:val="24"/>
              </w:rPr>
              <w:t xml:space="preserve"> are competent. </w:t>
            </w:r>
            <w:r w:rsidR="00C63017">
              <w:rPr>
                <w:sz w:val="24"/>
                <w:szCs w:val="24"/>
              </w:rPr>
              <w:t xml:space="preserve">Additional assurances can be made via a ‘Third Party Certification’ scheme. This is where an independent certification body </w:t>
            </w:r>
            <w:r w:rsidR="00A32385">
              <w:rPr>
                <w:sz w:val="24"/>
                <w:szCs w:val="24"/>
              </w:rPr>
              <w:t xml:space="preserve">(accredited by the Government body called ‘UKAS’) inspects the company on an annual basis. They will check the management systems of the company, including the training given to the employees, to see if they provide what they say they will and to high standards.  </w:t>
            </w:r>
            <w:r w:rsidR="00C63017" w:rsidRPr="00C63017">
              <w:rPr>
                <w:sz w:val="24"/>
                <w:szCs w:val="24"/>
              </w:rPr>
              <w:t>If you have any concerns, please contact your Property Advisor or your Health and Safety Advisor.</w:t>
            </w:r>
          </w:p>
        </w:tc>
      </w:tr>
      <w:tr w:rsidR="0066702B" w14:paraId="4EDDC74A" w14:textId="77777777" w:rsidTr="0066702B">
        <w:trPr>
          <w:trHeight w:val="1709"/>
        </w:trPr>
        <w:tc>
          <w:tcPr>
            <w:tcW w:w="1447" w:type="dxa"/>
            <w:shd w:val="clear" w:color="auto" w:fill="F7CAAC" w:themeFill="accent2" w:themeFillTint="66"/>
          </w:tcPr>
          <w:p w14:paraId="03027EED" w14:textId="733D8D64" w:rsidR="0066702B" w:rsidRPr="00B64E3C" w:rsidRDefault="0066702B" w:rsidP="001D158C">
            <w:pPr>
              <w:rPr>
                <w:b/>
                <w:sz w:val="24"/>
              </w:rPr>
            </w:pPr>
            <w:r>
              <w:rPr>
                <w:b/>
                <w:sz w:val="24"/>
              </w:rPr>
              <w:t>What do I need to do about the results of the test?</w:t>
            </w:r>
          </w:p>
        </w:tc>
        <w:tc>
          <w:tcPr>
            <w:tcW w:w="13579" w:type="dxa"/>
            <w:gridSpan w:val="6"/>
          </w:tcPr>
          <w:p w14:paraId="2CD6FE12" w14:textId="6F933F32" w:rsidR="0066702B" w:rsidRPr="00C63017" w:rsidRDefault="0066702B" w:rsidP="00A32385">
            <w:pPr>
              <w:jc w:val="both"/>
              <w:rPr>
                <w:sz w:val="24"/>
                <w:szCs w:val="24"/>
              </w:rPr>
            </w:pPr>
            <w:r w:rsidRPr="00C63017">
              <w:rPr>
                <w:sz w:val="24"/>
                <w:szCs w:val="24"/>
              </w:rPr>
              <w:t xml:space="preserve">The company who carries out the check should notify you (in writing) of any deficiencies </w:t>
            </w:r>
            <w:r w:rsidR="00C63017" w:rsidRPr="00C63017">
              <w:rPr>
                <w:sz w:val="24"/>
                <w:szCs w:val="24"/>
              </w:rPr>
              <w:t xml:space="preserve">within any of the systems or precautionary measures, </w:t>
            </w:r>
            <w:r w:rsidRPr="00C63017">
              <w:rPr>
                <w:sz w:val="24"/>
                <w:szCs w:val="24"/>
              </w:rPr>
              <w:t>which you must ensure are corrected.</w:t>
            </w:r>
            <w:r w:rsidR="00C63017" w:rsidRPr="00C63017">
              <w:rPr>
                <w:sz w:val="24"/>
                <w:szCs w:val="24"/>
              </w:rPr>
              <w:t xml:space="preserve">  </w:t>
            </w:r>
            <w:r w:rsidR="00C63017" w:rsidRPr="00C63017">
              <w:rPr>
                <w:b/>
                <w:color w:val="FF0000"/>
                <w:sz w:val="28"/>
                <w:szCs w:val="24"/>
              </w:rPr>
              <w:t>Please see that any corrective action is taken as a high priority.</w:t>
            </w:r>
            <w:r w:rsidR="00C63017" w:rsidRPr="00C63017">
              <w:rPr>
                <w:color w:val="FF0000"/>
                <w:sz w:val="28"/>
                <w:szCs w:val="24"/>
              </w:rPr>
              <w:t xml:space="preserve"> </w:t>
            </w:r>
          </w:p>
        </w:tc>
      </w:tr>
    </w:tbl>
    <w:p w14:paraId="3634108C" w14:textId="75F91478" w:rsidR="00E831C4" w:rsidRPr="00082C2E" w:rsidRDefault="00E831C4" w:rsidP="00A32385">
      <w:pPr>
        <w:rPr>
          <w:b/>
          <w:sz w:val="28"/>
        </w:rPr>
      </w:pPr>
    </w:p>
    <w:sectPr w:rsidR="00E831C4" w:rsidRPr="00082C2E" w:rsidSect="00464BF3">
      <w:pgSz w:w="16838" w:h="11906" w:orient="landscape"/>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3781" w14:textId="77777777" w:rsidR="001B7748" w:rsidRDefault="001B7748" w:rsidP="001B7748">
      <w:pPr>
        <w:spacing w:after="0" w:line="240" w:lineRule="auto"/>
      </w:pPr>
      <w:r>
        <w:separator/>
      </w:r>
    </w:p>
  </w:endnote>
  <w:endnote w:type="continuationSeparator" w:id="0">
    <w:p w14:paraId="1E86B457" w14:textId="77777777" w:rsidR="001B7748" w:rsidRDefault="001B7748" w:rsidP="001B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C999" w14:textId="77777777" w:rsidR="001B7748" w:rsidRDefault="001B7748" w:rsidP="001B7748">
      <w:pPr>
        <w:spacing w:after="0" w:line="240" w:lineRule="auto"/>
      </w:pPr>
      <w:r>
        <w:separator/>
      </w:r>
    </w:p>
  </w:footnote>
  <w:footnote w:type="continuationSeparator" w:id="0">
    <w:p w14:paraId="27C755BB" w14:textId="77777777" w:rsidR="001B7748" w:rsidRDefault="001B7748" w:rsidP="001B7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FB1"/>
    <w:multiLevelType w:val="hybridMultilevel"/>
    <w:tmpl w:val="2296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C4FB4"/>
    <w:multiLevelType w:val="hybridMultilevel"/>
    <w:tmpl w:val="5F6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E45E1"/>
    <w:multiLevelType w:val="hybridMultilevel"/>
    <w:tmpl w:val="7BDC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2E"/>
    <w:rsid w:val="00082C2E"/>
    <w:rsid w:val="001B7748"/>
    <w:rsid w:val="003045FB"/>
    <w:rsid w:val="00355BE6"/>
    <w:rsid w:val="00372E06"/>
    <w:rsid w:val="003827D0"/>
    <w:rsid w:val="00464BF3"/>
    <w:rsid w:val="004B6869"/>
    <w:rsid w:val="0066702B"/>
    <w:rsid w:val="006A2FD5"/>
    <w:rsid w:val="006E05C8"/>
    <w:rsid w:val="00A24A2C"/>
    <w:rsid w:val="00A32385"/>
    <w:rsid w:val="00C63017"/>
    <w:rsid w:val="00DB421E"/>
    <w:rsid w:val="00DB5060"/>
    <w:rsid w:val="00E831C4"/>
    <w:rsid w:val="00F21498"/>
    <w:rsid w:val="00F4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7F96"/>
  <w15:chartTrackingRefBased/>
  <w15:docId w15:val="{427229AD-346A-4543-B867-2956E74B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748"/>
    <w:pPr>
      <w:ind w:left="720"/>
      <w:contextualSpacing/>
    </w:pPr>
  </w:style>
  <w:style w:type="paragraph" w:styleId="FootnoteText">
    <w:name w:val="footnote text"/>
    <w:basedOn w:val="Normal"/>
    <w:link w:val="FootnoteTextChar"/>
    <w:uiPriority w:val="99"/>
    <w:semiHidden/>
    <w:unhideWhenUsed/>
    <w:rsid w:val="001B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748"/>
    <w:rPr>
      <w:sz w:val="20"/>
      <w:szCs w:val="20"/>
    </w:rPr>
  </w:style>
  <w:style w:type="character" w:styleId="FootnoteReference">
    <w:name w:val="footnote reference"/>
    <w:basedOn w:val="DefaultParagraphFont"/>
    <w:uiPriority w:val="99"/>
    <w:semiHidden/>
    <w:unhideWhenUsed/>
    <w:rsid w:val="001B7748"/>
    <w:rPr>
      <w:vertAlign w:val="superscript"/>
    </w:rPr>
  </w:style>
  <w:style w:type="paragraph" w:styleId="NormalWeb">
    <w:name w:val="Normal (Web)"/>
    <w:basedOn w:val="Normal"/>
    <w:uiPriority w:val="99"/>
    <w:semiHidden/>
    <w:unhideWhenUsed/>
    <w:rsid w:val="00C630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3017"/>
    <w:rPr>
      <w:b/>
      <w:bCs/>
    </w:rPr>
  </w:style>
  <w:style w:type="character" w:styleId="Hyperlink">
    <w:name w:val="Hyperlink"/>
    <w:basedOn w:val="DefaultParagraphFont"/>
    <w:uiPriority w:val="99"/>
    <w:unhideWhenUsed/>
    <w:rsid w:val="006A2FD5"/>
    <w:rPr>
      <w:color w:val="0563C1" w:themeColor="hyperlink"/>
      <w:u w:val="single"/>
    </w:rPr>
  </w:style>
  <w:style w:type="character" w:styleId="UnresolvedMention">
    <w:name w:val="Unresolved Mention"/>
    <w:basedOn w:val="DefaultParagraphFont"/>
    <w:uiPriority w:val="99"/>
    <w:semiHidden/>
    <w:unhideWhenUsed/>
    <w:rsid w:val="006A2FD5"/>
    <w:rPr>
      <w:color w:val="808080"/>
      <w:shd w:val="clear" w:color="auto" w:fill="E6E6E6"/>
    </w:rPr>
  </w:style>
  <w:style w:type="character" w:styleId="FollowedHyperlink">
    <w:name w:val="FollowedHyperlink"/>
    <w:basedOn w:val="DefaultParagraphFont"/>
    <w:uiPriority w:val="99"/>
    <w:semiHidden/>
    <w:unhideWhenUsed/>
    <w:rsid w:val="00F43601"/>
    <w:rPr>
      <w:color w:val="954F72" w:themeColor="followedHyperlink"/>
      <w:u w:val="single"/>
    </w:rPr>
  </w:style>
  <w:style w:type="character" w:styleId="CommentReference">
    <w:name w:val="annotation reference"/>
    <w:basedOn w:val="DefaultParagraphFont"/>
    <w:uiPriority w:val="99"/>
    <w:semiHidden/>
    <w:unhideWhenUsed/>
    <w:rsid w:val="00F43601"/>
    <w:rPr>
      <w:sz w:val="16"/>
      <w:szCs w:val="16"/>
    </w:rPr>
  </w:style>
  <w:style w:type="paragraph" w:styleId="CommentText">
    <w:name w:val="annotation text"/>
    <w:basedOn w:val="Normal"/>
    <w:link w:val="CommentTextChar"/>
    <w:uiPriority w:val="99"/>
    <w:semiHidden/>
    <w:unhideWhenUsed/>
    <w:rsid w:val="00F43601"/>
    <w:pPr>
      <w:spacing w:line="240" w:lineRule="auto"/>
    </w:pPr>
    <w:rPr>
      <w:sz w:val="20"/>
      <w:szCs w:val="20"/>
    </w:rPr>
  </w:style>
  <w:style w:type="character" w:customStyle="1" w:styleId="CommentTextChar">
    <w:name w:val="Comment Text Char"/>
    <w:basedOn w:val="DefaultParagraphFont"/>
    <w:link w:val="CommentText"/>
    <w:uiPriority w:val="99"/>
    <w:semiHidden/>
    <w:rsid w:val="00F43601"/>
    <w:rPr>
      <w:sz w:val="20"/>
      <w:szCs w:val="20"/>
    </w:rPr>
  </w:style>
  <w:style w:type="paragraph" w:styleId="CommentSubject">
    <w:name w:val="annotation subject"/>
    <w:basedOn w:val="CommentText"/>
    <w:next w:val="CommentText"/>
    <w:link w:val="CommentSubjectChar"/>
    <w:uiPriority w:val="99"/>
    <w:semiHidden/>
    <w:unhideWhenUsed/>
    <w:rsid w:val="00F43601"/>
    <w:rPr>
      <w:b/>
      <w:bCs/>
    </w:rPr>
  </w:style>
  <w:style w:type="character" w:customStyle="1" w:styleId="CommentSubjectChar">
    <w:name w:val="Comment Subject Char"/>
    <w:basedOn w:val="CommentTextChar"/>
    <w:link w:val="CommentSubject"/>
    <w:uiPriority w:val="99"/>
    <w:semiHidden/>
    <w:rsid w:val="00F43601"/>
    <w:rPr>
      <w:b/>
      <w:bCs/>
      <w:sz w:val="20"/>
      <w:szCs w:val="20"/>
    </w:rPr>
  </w:style>
  <w:style w:type="paragraph" w:styleId="BalloonText">
    <w:name w:val="Balloon Text"/>
    <w:basedOn w:val="Normal"/>
    <w:link w:val="BalloonTextChar"/>
    <w:uiPriority w:val="99"/>
    <w:semiHidden/>
    <w:unhideWhenUsed/>
    <w:rsid w:val="00F43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10504">
      <w:bodyDiv w:val="1"/>
      <w:marLeft w:val="0"/>
      <w:marRight w:val="0"/>
      <w:marTop w:val="0"/>
      <w:marBottom w:val="0"/>
      <w:divBdr>
        <w:top w:val="none" w:sz="0" w:space="0" w:color="auto"/>
        <w:left w:val="none" w:sz="0" w:space="0" w:color="auto"/>
        <w:bottom w:val="none" w:sz="0" w:space="0" w:color="auto"/>
        <w:right w:val="none" w:sz="0" w:space="0" w:color="auto"/>
      </w:divBdr>
    </w:div>
    <w:div w:id="1538466399">
      <w:bodyDiv w:val="1"/>
      <w:marLeft w:val="0"/>
      <w:marRight w:val="0"/>
      <w:marTop w:val="0"/>
      <w:marBottom w:val="0"/>
      <w:divBdr>
        <w:top w:val="none" w:sz="0" w:space="0" w:color="auto"/>
        <w:left w:val="none" w:sz="0" w:space="0" w:color="auto"/>
        <w:bottom w:val="none" w:sz="0" w:space="0" w:color="auto"/>
        <w:right w:val="none" w:sz="0" w:space="0" w:color="auto"/>
      </w:divBdr>
      <w:divsChild>
        <w:div w:id="1492872305">
          <w:marLeft w:val="0"/>
          <w:marRight w:val="0"/>
          <w:marTop w:val="300"/>
          <w:marBottom w:val="150"/>
          <w:divBdr>
            <w:top w:val="none" w:sz="0" w:space="0" w:color="auto"/>
            <w:left w:val="none" w:sz="0" w:space="0" w:color="auto"/>
            <w:bottom w:val="none" w:sz="0" w:space="0" w:color="auto"/>
            <w:right w:val="none" w:sz="0" w:space="0" w:color="auto"/>
          </w:divBdr>
        </w:div>
        <w:div w:id="12362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learning.co.uk/leadership-staff-development/health-safety-wellbeing/fire-precaution-inform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6</cp:revision>
  <dcterms:created xsi:type="dcterms:W3CDTF">2018-03-02T15:33:00Z</dcterms:created>
  <dcterms:modified xsi:type="dcterms:W3CDTF">2018-03-16T07:16:00Z</dcterms:modified>
</cp:coreProperties>
</file>