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637E" w14:textId="17219622" w:rsidR="00A24A2C" w:rsidRPr="004A00D8" w:rsidRDefault="004A00D8" w:rsidP="00405703">
      <w:pPr>
        <w:jc w:val="center"/>
        <w:rPr>
          <w:b/>
          <w:sz w:val="32"/>
          <w:szCs w:val="26"/>
        </w:rPr>
      </w:pPr>
      <w:r>
        <w:rPr>
          <w:b/>
          <w:sz w:val="32"/>
          <w:szCs w:val="26"/>
        </w:rPr>
        <w:t>Schools’ guide to additional checks for fire precautions</w:t>
      </w:r>
    </w:p>
    <w:p w14:paraId="30F54228" w14:textId="34BB4F4B" w:rsidR="00651633" w:rsidRPr="004A00D8" w:rsidRDefault="00EB47BE" w:rsidP="00076037">
      <w:pPr>
        <w:jc w:val="both"/>
        <w:rPr>
          <w:sz w:val="26"/>
          <w:szCs w:val="26"/>
        </w:rPr>
      </w:pPr>
      <w:r w:rsidRPr="004A00D8">
        <w:rPr>
          <w:sz w:val="26"/>
          <w:szCs w:val="26"/>
        </w:rPr>
        <w:t xml:space="preserve">The publication by HM Government named ‘Fire Risk Assessment: Educational Premises’ can be found at </w:t>
      </w:r>
      <w:hyperlink r:id="rId5" w:history="1">
        <w:r w:rsidRPr="004A00D8">
          <w:rPr>
            <w:rStyle w:val="Hyperlink"/>
            <w:sz w:val="26"/>
            <w:szCs w:val="26"/>
          </w:rPr>
          <w:t>https://www.gov.uk/government/publications/fire-safety-risk-assessment-educational-premises</w:t>
        </w:r>
      </w:hyperlink>
      <w:r w:rsidRPr="004A00D8">
        <w:rPr>
          <w:sz w:val="26"/>
          <w:szCs w:val="26"/>
        </w:rPr>
        <w:t xml:space="preserve"> .  This document is a valuable resource for anyone managing the risks of fire within their educational establishment. </w:t>
      </w:r>
      <w:r w:rsidR="00076037" w:rsidRPr="004A00D8">
        <w:rPr>
          <w:sz w:val="26"/>
          <w:szCs w:val="26"/>
        </w:rPr>
        <w:t>The items below are detailed within Part Two of the document</w:t>
      </w:r>
      <w:r w:rsidR="00AA41C8">
        <w:rPr>
          <w:sz w:val="26"/>
          <w:szCs w:val="26"/>
        </w:rPr>
        <w:t xml:space="preserve"> from page 41 onwards</w:t>
      </w:r>
      <w:r w:rsidR="00076037" w:rsidRPr="004A00D8">
        <w:rPr>
          <w:sz w:val="26"/>
          <w:szCs w:val="26"/>
        </w:rPr>
        <w:t xml:space="preserve">.  Please take some time to go through the full document with the person responsible for the checks.  Ensure you carry out a periodic whole premises review to be assured that all areas are covered. </w:t>
      </w:r>
    </w:p>
    <w:tbl>
      <w:tblPr>
        <w:tblStyle w:val="TableGrid"/>
        <w:tblW w:w="0" w:type="auto"/>
        <w:tblLook w:val="04A0" w:firstRow="1" w:lastRow="0" w:firstColumn="1" w:lastColumn="0" w:noHBand="0" w:noVBand="1"/>
      </w:tblPr>
      <w:tblGrid>
        <w:gridCol w:w="2323"/>
        <w:gridCol w:w="2323"/>
        <w:gridCol w:w="2325"/>
        <w:gridCol w:w="2325"/>
        <w:gridCol w:w="2325"/>
        <w:gridCol w:w="2325"/>
        <w:gridCol w:w="2325"/>
        <w:gridCol w:w="2325"/>
        <w:gridCol w:w="2325"/>
      </w:tblGrid>
      <w:tr w:rsidR="00076037" w:rsidRPr="004A00D8" w14:paraId="3B21B8B3" w14:textId="49B350E1" w:rsidTr="00470CBA">
        <w:tc>
          <w:tcPr>
            <w:tcW w:w="2323" w:type="dxa"/>
            <w:shd w:val="clear" w:color="auto" w:fill="B4C6E7" w:themeFill="accent1" w:themeFillTint="66"/>
          </w:tcPr>
          <w:p w14:paraId="691CE5DF" w14:textId="77A5C43C" w:rsidR="00076037" w:rsidRPr="004A00D8" w:rsidRDefault="00076037" w:rsidP="00076037">
            <w:pPr>
              <w:rPr>
                <w:b/>
                <w:sz w:val="26"/>
                <w:szCs w:val="26"/>
              </w:rPr>
            </w:pPr>
            <w:r w:rsidRPr="004A00D8">
              <w:rPr>
                <w:b/>
                <w:sz w:val="26"/>
                <w:szCs w:val="26"/>
              </w:rPr>
              <w:t>What should I check for?</w:t>
            </w:r>
          </w:p>
        </w:tc>
        <w:tc>
          <w:tcPr>
            <w:tcW w:w="2323" w:type="dxa"/>
            <w:shd w:val="clear" w:color="auto" w:fill="F4B083" w:themeFill="accent2" w:themeFillTint="99"/>
          </w:tcPr>
          <w:p w14:paraId="14AB82AB" w14:textId="594D129F" w:rsidR="00076037" w:rsidRPr="004A00D8" w:rsidRDefault="00076037" w:rsidP="00405703">
            <w:pPr>
              <w:jc w:val="center"/>
              <w:rPr>
                <w:b/>
                <w:sz w:val="26"/>
                <w:szCs w:val="26"/>
              </w:rPr>
            </w:pPr>
            <w:r w:rsidRPr="004A00D8">
              <w:rPr>
                <w:b/>
                <w:sz w:val="26"/>
                <w:szCs w:val="26"/>
              </w:rPr>
              <w:t>The risk of arson</w:t>
            </w:r>
            <w:r w:rsidR="00AA41C8">
              <w:rPr>
                <w:b/>
                <w:sz w:val="26"/>
                <w:szCs w:val="26"/>
              </w:rPr>
              <w:t xml:space="preserve"> (page 42)</w:t>
            </w:r>
          </w:p>
        </w:tc>
        <w:tc>
          <w:tcPr>
            <w:tcW w:w="2325" w:type="dxa"/>
            <w:shd w:val="clear" w:color="auto" w:fill="F4B083" w:themeFill="accent2" w:themeFillTint="99"/>
          </w:tcPr>
          <w:p w14:paraId="12C087C1" w14:textId="7F8AC13B" w:rsidR="00076037" w:rsidRPr="004A00D8" w:rsidRDefault="00076037" w:rsidP="00405703">
            <w:pPr>
              <w:jc w:val="center"/>
              <w:rPr>
                <w:b/>
                <w:sz w:val="26"/>
                <w:szCs w:val="26"/>
              </w:rPr>
            </w:pPr>
            <w:r w:rsidRPr="004A00D8">
              <w:rPr>
                <w:b/>
                <w:sz w:val="26"/>
                <w:szCs w:val="26"/>
              </w:rPr>
              <w:t>Housekeeping, storage, and hazards in escape routes</w:t>
            </w:r>
            <w:r w:rsidR="00AA41C8">
              <w:rPr>
                <w:b/>
                <w:sz w:val="26"/>
                <w:szCs w:val="26"/>
              </w:rPr>
              <w:t xml:space="preserve"> (page 43 onwards)</w:t>
            </w:r>
          </w:p>
        </w:tc>
        <w:tc>
          <w:tcPr>
            <w:tcW w:w="2325" w:type="dxa"/>
            <w:shd w:val="clear" w:color="auto" w:fill="F4B083" w:themeFill="accent2" w:themeFillTint="99"/>
          </w:tcPr>
          <w:p w14:paraId="7F24C256" w14:textId="6439A351" w:rsidR="00076037" w:rsidRPr="004A00D8" w:rsidRDefault="00076037" w:rsidP="00405703">
            <w:pPr>
              <w:jc w:val="center"/>
              <w:rPr>
                <w:b/>
                <w:sz w:val="26"/>
                <w:szCs w:val="26"/>
              </w:rPr>
            </w:pPr>
            <w:r w:rsidRPr="004A00D8">
              <w:rPr>
                <w:b/>
                <w:sz w:val="26"/>
                <w:szCs w:val="26"/>
              </w:rPr>
              <w:t xml:space="preserve">Provision for those who are less mobile / have disabilities </w:t>
            </w:r>
            <w:r w:rsidR="00AA41C8">
              <w:rPr>
                <w:b/>
                <w:sz w:val="26"/>
                <w:szCs w:val="26"/>
              </w:rPr>
              <w:t>(page 53)</w:t>
            </w:r>
          </w:p>
        </w:tc>
        <w:tc>
          <w:tcPr>
            <w:tcW w:w="2325" w:type="dxa"/>
            <w:shd w:val="clear" w:color="auto" w:fill="F4B083" w:themeFill="accent2" w:themeFillTint="99"/>
          </w:tcPr>
          <w:p w14:paraId="40406B88" w14:textId="2ECD583D" w:rsidR="00076037" w:rsidRPr="004A00D8" w:rsidRDefault="00076037" w:rsidP="00405703">
            <w:pPr>
              <w:jc w:val="center"/>
              <w:rPr>
                <w:b/>
                <w:sz w:val="26"/>
                <w:szCs w:val="26"/>
              </w:rPr>
            </w:pPr>
            <w:r w:rsidRPr="004A00D8">
              <w:rPr>
                <w:b/>
                <w:sz w:val="26"/>
                <w:szCs w:val="26"/>
              </w:rPr>
              <w:t xml:space="preserve">Building works and alterations </w:t>
            </w:r>
            <w:r w:rsidR="00AA41C8">
              <w:rPr>
                <w:b/>
                <w:sz w:val="26"/>
                <w:szCs w:val="26"/>
              </w:rPr>
              <w:t>(page 48)</w:t>
            </w:r>
          </w:p>
        </w:tc>
        <w:tc>
          <w:tcPr>
            <w:tcW w:w="2325" w:type="dxa"/>
            <w:shd w:val="clear" w:color="auto" w:fill="F4B083" w:themeFill="accent2" w:themeFillTint="99"/>
          </w:tcPr>
          <w:p w14:paraId="026A17DA" w14:textId="6781F295" w:rsidR="00076037" w:rsidRPr="004A00D8" w:rsidRDefault="00076037" w:rsidP="00405703">
            <w:pPr>
              <w:jc w:val="center"/>
              <w:rPr>
                <w:b/>
                <w:sz w:val="26"/>
                <w:szCs w:val="26"/>
              </w:rPr>
            </w:pPr>
            <w:r w:rsidRPr="004A00D8">
              <w:rPr>
                <w:b/>
                <w:sz w:val="26"/>
                <w:szCs w:val="26"/>
              </w:rPr>
              <w:t>Electrical safety</w:t>
            </w:r>
            <w:r w:rsidR="00AA41C8">
              <w:rPr>
                <w:b/>
                <w:sz w:val="26"/>
                <w:szCs w:val="26"/>
              </w:rPr>
              <w:t xml:space="preserve"> (page 47)</w:t>
            </w:r>
          </w:p>
        </w:tc>
        <w:tc>
          <w:tcPr>
            <w:tcW w:w="2325" w:type="dxa"/>
            <w:shd w:val="clear" w:color="auto" w:fill="F4B083" w:themeFill="accent2" w:themeFillTint="99"/>
          </w:tcPr>
          <w:p w14:paraId="5F09259B" w14:textId="1BE21E63" w:rsidR="00076037" w:rsidRPr="004A00D8" w:rsidRDefault="00076037" w:rsidP="00405703">
            <w:pPr>
              <w:jc w:val="center"/>
              <w:rPr>
                <w:b/>
                <w:sz w:val="26"/>
                <w:szCs w:val="26"/>
              </w:rPr>
            </w:pPr>
            <w:r w:rsidRPr="004A00D8">
              <w:rPr>
                <w:b/>
                <w:sz w:val="26"/>
                <w:szCs w:val="26"/>
              </w:rPr>
              <w:t>Smoking</w:t>
            </w:r>
            <w:r w:rsidR="00AA41C8">
              <w:rPr>
                <w:b/>
                <w:sz w:val="26"/>
                <w:szCs w:val="26"/>
              </w:rPr>
              <w:t xml:space="preserve"> (page 48)</w:t>
            </w:r>
          </w:p>
        </w:tc>
        <w:tc>
          <w:tcPr>
            <w:tcW w:w="2325" w:type="dxa"/>
            <w:shd w:val="clear" w:color="auto" w:fill="F4B083" w:themeFill="accent2" w:themeFillTint="99"/>
          </w:tcPr>
          <w:p w14:paraId="0C6EFDEE" w14:textId="55A04A25" w:rsidR="00076037" w:rsidRPr="004A00D8" w:rsidRDefault="00076037" w:rsidP="00405703">
            <w:pPr>
              <w:jc w:val="center"/>
              <w:rPr>
                <w:b/>
                <w:sz w:val="26"/>
                <w:szCs w:val="26"/>
              </w:rPr>
            </w:pPr>
            <w:r w:rsidRPr="004A00D8">
              <w:rPr>
                <w:b/>
                <w:sz w:val="26"/>
                <w:szCs w:val="26"/>
              </w:rPr>
              <w:t>Equipment and machinery</w:t>
            </w:r>
            <w:r w:rsidR="00AA41C8">
              <w:rPr>
                <w:b/>
                <w:sz w:val="26"/>
                <w:szCs w:val="26"/>
              </w:rPr>
              <w:t xml:space="preserve"> (page 46)</w:t>
            </w:r>
          </w:p>
        </w:tc>
        <w:tc>
          <w:tcPr>
            <w:tcW w:w="2325" w:type="dxa"/>
            <w:shd w:val="clear" w:color="auto" w:fill="F4B083" w:themeFill="accent2" w:themeFillTint="99"/>
          </w:tcPr>
          <w:p w14:paraId="7F32A9F7" w14:textId="2697934A" w:rsidR="00076037" w:rsidRPr="004A00D8" w:rsidRDefault="00076037" w:rsidP="00405703">
            <w:pPr>
              <w:jc w:val="center"/>
              <w:rPr>
                <w:b/>
                <w:sz w:val="26"/>
                <w:szCs w:val="26"/>
              </w:rPr>
            </w:pPr>
            <w:r w:rsidRPr="004A00D8">
              <w:rPr>
                <w:b/>
                <w:sz w:val="26"/>
                <w:szCs w:val="26"/>
              </w:rPr>
              <w:t>Dangerous substances</w:t>
            </w:r>
            <w:r w:rsidR="00470CBA" w:rsidRPr="004A00D8">
              <w:rPr>
                <w:b/>
                <w:sz w:val="26"/>
                <w:szCs w:val="26"/>
              </w:rPr>
              <w:t xml:space="preserve"> (e.g., petrol for mowers, CoSHH items for cleaning, </w:t>
            </w:r>
            <w:r w:rsidR="00D44952">
              <w:rPr>
                <w:b/>
                <w:sz w:val="26"/>
                <w:szCs w:val="26"/>
              </w:rPr>
              <w:t xml:space="preserve">medical oxygen cannisters </w:t>
            </w:r>
            <w:r w:rsidR="00470CBA" w:rsidRPr="004A00D8">
              <w:rPr>
                <w:b/>
                <w:sz w:val="26"/>
                <w:szCs w:val="26"/>
              </w:rPr>
              <w:t>etc</w:t>
            </w:r>
            <w:r w:rsidR="00AA41C8">
              <w:rPr>
                <w:b/>
                <w:sz w:val="26"/>
                <w:szCs w:val="26"/>
              </w:rPr>
              <w:t xml:space="preserve"> – page 45 onwards)</w:t>
            </w:r>
          </w:p>
        </w:tc>
      </w:tr>
      <w:tr w:rsidR="00076037" w:rsidRPr="00AA41C8" w14:paraId="076F9134" w14:textId="55AF6DF4" w:rsidTr="00076037">
        <w:tc>
          <w:tcPr>
            <w:tcW w:w="2323" w:type="dxa"/>
            <w:shd w:val="clear" w:color="auto" w:fill="B4C6E7" w:themeFill="accent1" w:themeFillTint="66"/>
          </w:tcPr>
          <w:p w14:paraId="17B76ED8" w14:textId="7F1BD778" w:rsidR="00076037" w:rsidRPr="00AA41C8" w:rsidRDefault="00076037" w:rsidP="00076037">
            <w:pPr>
              <w:rPr>
                <w:b/>
                <w:sz w:val="24"/>
                <w:szCs w:val="24"/>
              </w:rPr>
            </w:pPr>
            <w:r w:rsidRPr="00AA41C8">
              <w:rPr>
                <w:b/>
                <w:sz w:val="24"/>
                <w:szCs w:val="24"/>
              </w:rPr>
              <w:t>How often should I be checking?</w:t>
            </w:r>
          </w:p>
        </w:tc>
        <w:tc>
          <w:tcPr>
            <w:tcW w:w="2323" w:type="dxa"/>
          </w:tcPr>
          <w:p w14:paraId="73240758" w14:textId="2E68D4D1" w:rsidR="00076037" w:rsidRPr="00AA41C8" w:rsidRDefault="00076037" w:rsidP="00076037">
            <w:pPr>
              <w:rPr>
                <w:sz w:val="24"/>
                <w:szCs w:val="24"/>
              </w:rPr>
            </w:pPr>
            <w:r w:rsidRPr="00AA41C8">
              <w:rPr>
                <w:sz w:val="24"/>
                <w:szCs w:val="24"/>
              </w:rPr>
              <w:t>Daily</w:t>
            </w:r>
          </w:p>
        </w:tc>
        <w:tc>
          <w:tcPr>
            <w:tcW w:w="2325" w:type="dxa"/>
          </w:tcPr>
          <w:p w14:paraId="483AA19F" w14:textId="6129D776" w:rsidR="00076037" w:rsidRPr="00AA41C8" w:rsidRDefault="00076037" w:rsidP="00076037">
            <w:pPr>
              <w:rPr>
                <w:sz w:val="24"/>
                <w:szCs w:val="24"/>
              </w:rPr>
            </w:pPr>
            <w:r w:rsidRPr="00AA41C8">
              <w:rPr>
                <w:sz w:val="24"/>
                <w:szCs w:val="24"/>
              </w:rPr>
              <w:t>Daily</w:t>
            </w:r>
          </w:p>
        </w:tc>
        <w:tc>
          <w:tcPr>
            <w:tcW w:w="2325" w:type="dxa"/>
          </w:tcPr>
          <w:p w14:paraId="0C5724E9" w14:textId="7E925536" w:rsidR="00076037" w:rsidRPr="00AA41C8" w:rsidRDefault="00076037" w:rsidP="00076037">
            <w:pPr>
              <w:rPr>
                <w:sz w:val="24"/>
                <w:szCs w:val="24"/>
              </w:rPr>
            </w:pPr>
            <w:r w:rsidRPr="00AA41C8">
              <w:rPr>
                <w:sz w:val="24"/>
                <w:szCs w:val="24"/>
              </w:rPr>
              <w:t>Reviews of a PEEP should occur when the individual’s needs change</w:t>
            </w:r>
          </w:p>
        </w:tc>
        <w:tc>
          <w:tcPr>
            <w:tcW w:w="2325" w:type="dxa"/>
          </w:tcPr>
          <w:p w14:paraId="062FB173" w14:textId="49653EDA" w:rsidR="00076037" w:rsidRPr="00AA41C8" w:rsidRDefault="002F1C4E" w:rsidP="00076037">
            <w:pPr>
              <w:rPr>
                <w:sz w:val="24"/>
                <w:szCs w:val="24"/>
              </w:rPr>
            </w:pPr>
            <w:r w:rsidRPr="00AA41C8">
              <w:rPr>
                <w:sz w:val="24"/>
                <w:szCs w:val="24"/>
              </w:rPr>
              <w:t>When you have significant changes to your building</w:t>
            </w:r>
          </w:p>
        </w:tc>
        <w:tc>
          <w:tcPr>
            <w:tcW w:w="2325" w:type="dxa"/>
          </w:tcPr>
          <w:p w14:paraId="6EB74218" w14:textId="7B416639" w:rsidR="00076037" w:rsidRPr="00AA41C8" w:rsidRDefault="002F1C4E" w:rsidP="00076037">
            <w:pPr>
              <w:rPr>
                <w:sz w:val="24"/>
                <w:szCs w:val="24"/>
              </w:rPr>
            </w:pPr>
            <w:proofErr w:type="spellStart"/>
            <w:r w:rsidRPr="00AA41C8">
              <w:rPr>
                <w:sz w:val="24"/>
                <w:szCs w:val="24"/>
              </w:rPr>
              <w:t>PATesting</w:t>
            </w:r>
            <w:proofErr w:type="spellEnd"/>
            <w:r w:rsidRPr="00AA41C8">
              <w:rPr>
                <w:sz w:val="24"/>
                <w:szCs w:val="24"/>
              </w:rPr>
              <w:t xml:space="preserve"> yearly, visual checks </w:t>
            </w:r>
            <w:r w:rsidR="00470CBA" w:rsidRPr="00AA41C8">
              <w:rPr>
                <w:sz w:val="24"/>
                <w:szCs w:val="24"/>
              </w:rPr>
              <w:t xml:space="preserve">before each use and as </w:t>
            </w:r>
            <w:r w:rsidRPr="00AA41C8">
              <w:rPr>
                <w:sz w:val="24"/>
                <w:szCs w:val="24"/>
              </w:rPr>
              <w:t xml:space="preserve">recommended by </w:t>
            </w:r>
            <w:r w:rsidR="004308CD" w:rsidRPr="00AA41C8">
              <w:rPr>
                <w:sz w:val="24"/>
                <w:szCs w:val="24"/>
              </w:rPr>
              <w:t>your Property Advisor or H&amp;S Advisor</w:t>
            </w:r>
          </w:p>
        </w:tc>
        <w:tc>
          <w:tcPr>
            <w:tcW w:w="2325" w:type="dxa"/>
          </w:tcPr>
          <w:p w14:paraId="4D3FE1FC" w14:textId="3AA21768" w:rsidR="00076037" w:rsidRPr="00AA41C8" w:rsidRDefault="000B55E2" w:rsidP="00076037">
            <w:pPr>
              <w:rPr>
                <w:sz w:val="24"/>
                <w:szCs w:val="24"/>
              </w:rPr>
            </w:pPr>
            <w:r w:rsidRPr="00AA41C8">
              <w:rPr>
                <w:b/>
                <w:sz w:val="24"/>
                <w:szCs w:val="24"/>
              </w:rPr>
              <w:t>All schools should be non-smoking sites.</w:t>
            </w:r>
            <w:r w:rsidRPr="00AA41C8">
              <w:rPr>
                <w:sz w:val="24"/>
                <w:szCs w:val="24"/>
              </w:rPr>
              <w:t xml:space="preserve">  However, it is acknowledged that covert smoking is likely to occur and therefore </w:t>
            </w:r>
            <w:r w:rsidR="00470CBA" w:rsidRPr="00AA41C8">
              <w:rPr>
                <w:sz w:val="24"/>
                <w:szCs w:val="24"/>
              </w:rPr>
              <w:t>checks on known smoking areas made.</w:t>
            </w:r>
          </w:p>
        </w:tc>
        <w:tc>
          <w:tcPr>
            <w:tcW w:w="2325" w:type="dxa"/>
          </w:tcPr>
          <w:p w14:paraId="1F8FA198" w14:textId="73A790D2" w:rsidR="00076037" w:rsidRPr="00AA41C8" w:rsidRDefault="00470CBA" w:rsidP="00076037">
            <w:pPr>
              <w:rPr>
                <w:sz w:val="24"/>
                <w:szCs w:val="24"/>
              </w:rPr>
            </w:pPr>
            <w:r w:rsidRPr="00AA41C8">
              <w:rPr>
                <w:sz w:val="24"/>
                <w:szCs w:val="24"/>
              </w:rPr>
              <w:t>Visual checks before each use – professional checks as per manufacturer / installer guidance – see note below</w:t>
            </w:r>
          </w:p>
        </w:tc>
        <w:tc>
          <w:tcPr>
            <w:tcW w:w="2325" w:type="dxa"/>
          </w:tcPr>
          <w:p w14:paraId="461A01FB" w14:textId="0A39F37D" w:rsidR="00076037" w:rsidRPr="00AA41C8" w:rsidRDefault="00D25025" w:rsidP="00076037">
            <w:pPr>
              <w:rPr>
                <w:sz w:val="24"/>
                <w:szCs w:val="24"/>
              </w:rPr>
            </w:pPr>
            <w:r w:rsidRPr="00AA41C8">
              <w:rPr>
                <w:sz w:val="24"/>
                <w:szCs w:val="24"/>
              </w:rPr>
              <w:t>Daily</w:t>
            </w:r>
            <w:r w:rsidR="00D44952">
              <w:rPr>
                <w:sz w:val="24"/>
                <w:szCs w:val="24"/>
              </w:rPr>
              <w:t xml:space="preserve"> to ensure correct storage and labelling is clear.</w:t>
            </w:r>
          </w:p>
        </w:tc>
      </w:tr>
      <w:tr w:rsidR="00076037" w:rsidRPr="00AA41C8" w14:paraId="6B77FDE7" w14:textId="6ECAD9F0" w:rsidTr="00076037">
        <w:tc>
          <w:tcPr>
            <w:tcW w:w="2323" w:type="dxa"/>
            <w:shd w:val="clear" w:color="auto" w:fill="B4C6E7" w:themeFill="accent1" w:themeFillTint="66"/>
          </w:tcPr>
          <w:p w14:paraId="5E221C61" w14:textId="134CE779" w:rsidR="00076037" w:rsidRPr="00AA41C8" w:rsidRDefault="00076037" w:rsidP="00076037">
            <w:pPr>
              <w:rPr>
                <w:b/>
                <w:sz w:val="24"/>
                <w:szCs w:val="24"/>
              </w:rPr>
            </w:pPr>
            <w:r w:rsidRPr="00AA41C8">
              <w:rPr>
                <w:b/>
                <w:sz w:val="24"/>
                <w:szCs w:val="24"/>
              </w:rPr>
              <w:t>Who can carry out these checks?</w:t>
            </w:r>
          </w:p>
        </w:tc>
        <w:tc>
          <w:tcPr>
            <w:tcW w:w="2323" w:type="dxa"/>
          </w:tcPr>
          <w:p w14:paraId="5DA7A0AF" w14:textId="755170D9" w:rsidR="00076037" w:rsidRPr="00AA41C8" w:rsidRDefault="00BA5B5A" w:rsidP="00076037">
            <w:pPr>
              <w:rPr>
                <w:sz w:val="24"/>
                <w:szCs w:val="24"/>
              </w:rPr>
            </w:pPr>
            <w:r w:rsidRPr="00AA41C8">
              <w:rPr>
                <w:sz w:val="24"/>
                <w:szCs w:val="24"/>
              </w:rPr>
              <w:t xml:space="preserve">Premises responsible person (PRP); caretaker; headteacher; cleaner – any member of staff </w:t>
            </w:r>
            <w:r w:rsidR="00D25025" w:rsidRPr="00AA41C8">
              <w:rPr>
                <w:sz w:val="24"/>
                <w:szCs w:val="24"/>
              </w:rPr>
              <w:t>who is fully aware of the topic and risk</w:t>
            </w:r>
            <w:r w:rsidRPr="00AA41C8">
              <w:rPr>
                <w:sz w:val="24"/>
                <w:szCs w:val="24"/>
              </w:rPr>
              <w:t xml:space="preserve"> </w:t>
            </w:r>
          </w:p>
        </w:tc>
        <w:tc>
          <w:tcPr>
            <w:tcW w:w="2325" w:type="dxa"/>
          </w:tcPr>
          <w:p w14:paraId="02CC458D" w14:textId="017A12DA" w:rsidR="00076037" w:rsidRPr="00AA41C8" w:rsidRDefault="00470CBA" w:rsidP="00076037">
            <w:pPr>
              <w:rPr>
                <w:sz w:val="24"/>
                <w:szCs w:val="24"/>
              </w:rPr>
            </w:pPr>
            <w:r w:rsidRPr="00AA41C8">
              <w:rPr>
                <w:sz w:val="24"/>
                <w:szCs w:val="24"/>
              </w:rPr>
              <w:t>Premises responsible person (PRP); caretaker; headteacher; cleaner – any member of staff who is fully aware of the topic and risk – teachers in their own classrooms</w:t>
            </w:r>
          </w:p>
        </w:tc>
        <w:tc>
          <w:tcPr>
            <w:tcW w:w="2325" w:type="dxa"/>
          </w:tcPr>
          <w:p w14:paraId="7194DBE1" w14:textId="3A963207" w:rsidR="00076037" w:rsidRPr="00AA41C8" w:rsidRDefault="000B55E2" w:rsidP="00076037">
            <w:pPr>
              <w:rPr>
                <w:sz w:val="24"/>
                <w:szCs w:val="24"/>
              </w:rPr>
            </w:pPr>
            <w:r w:rsidRPr="00AA41C8">
              <w:rPr>
                <w:sz w:val="24"/>
                <w:szCs w:val="24"/>
              </w:rPr>
              <w:t>The person who wrote the PEEP in conjunction with the individual concerned (or their carer)</w:t>
            </w:r>
          </w:p>
        </w:tc>
        <w:tc>
          <w:tcPr>
            <w:tcW w:w="2325" w:type="dxa"/>
          </w:tcPr>
          <w:p w14:paraId="76C446A4" w14:textId="59072C08" w:rsidR="00076037" w:rsidRPr="00AA41C8" w:rsidRDefault="00470CBA" w:rsidP="00076037">
            <w:pPr>
              <w:rPr>
                <w:sz w:val="24"/>
                <w:szCs w:val="24"/>
              </w:rPr>
            </w:pPr>
            <w:r w:rsidRPr="00AA41C8">
              <w:rPr>
                <w:sz w:val="24"/>
                <w:szCs w:val="24"/>
              </w:rPr>
              <w:t>PRP / Property Maintenance Company for forward planning</w:t>
            </w:r>
          </w:p>
        </w:tc>
        <w:tc>
          <w:tcPr>
            <w:tcW w:w="2325" w:type="dxa"/>
          </w:tcPr>
          <w:p w14:paraId="62D6F4BE" w14:textId="7CFD8E47" w:rsidR="00076037" w:rsidRPr="00AA41C8" w:rsidRDefault="00D25025" w:rsidP="00076037">
            <w:pPr>
              <w:rPr>
                <w:sz w:val="24"/>
                <w:szCs w:val="24"/>
              </w:rPr>
            </w:pPr>
            <w:proofErr w:type="spellStart"/>
            <w:r w:rsidRPr="00AA41C8">
              <w:rPr>
                <w:sz w:val="24"/>
                <w:szCs w:val="24"/>
              </w:rPr>
              <w:t>PATesting</w:t>
            </w:r>
            <w:proofErr w:type="spellEnd"/>
            <w:r w:rsidRPr="00AA41C8">
              <w:rPr>
                <w:sz w:val="24"/>
                <w:szCs w:val="24"/>
              </w:rPr>
              <w:t xml:space="preserve"> should be arranged via the PRP and diarised each year.  Any staff can carry out a simple visual check of electrical items in their use</w:t>
            </w:r>
            <w:r w:rsidR="00B613EA" w:rsidRPr="00AA41C8">
              <w:rPr>
                <w:sz w:val="24"/>
                <w:szCs w:val="24"/>
              </w:rPr>
              <w:t xml:space="preserve"> – see note below.</w:t>
            </w:r>
          </w:p>
        </w:tc>
        <w:tc>
          <w:tcPr>
            <w:tcW w:w="2325" w:type="dxa"/>
          </w:tcPr>
          <w:p w14:paraId="2CEF3236" w14:textId="01581311" w:rsidR="00076037" w:rsidRPr="00AA41C8" w:rsidRDefault="00470CBA" w:rsidP="00076037">
            <w:pPr>
              <w:rPr>
                <w:sz w:val="24"/>
                <w:szCs w:val="24"/>
              </w:rPr>
            </w:pPr>
            <w:r w:rsidRPr="00AA41C8">
              <w:rPr>
                <w:sz w:val="24"/>
                <w:szCs w:val="24"/>
              </w:rPr>
              <w:t>Premises responsible person (PRP); caretaker; headteacher; cleaner – any member of staff who is fully aware of the topic and risk</w:t>
            </w:r>
          </w:p>
        </w:tc>
        <w:tc>
          <w:tcPr>
            <w:tcW w:w="2325" w:type="dxa"/>
          </w:tcPr>
          <w:p w14:paraId="30FC1D76" w14:textId="5D0A425D" w:rsidR="00076037" w:rsidRPr="00AA41C8" w:rsidRDefault="00470CBA" w:rsidP="00076037">
            <w:pPr>
              <w:rPr>
                <w:sz w:val="24"/>
                <w:szCs w:val="24"/>
              </w:rPr>
            </w:pPr>
            <w:r w:rsidRPr="00AA41C8">
              <w:rPr>
                <w:sz w:val="24"/>
                <w:szCs w:val="24"/>
              </w:rPr>
              <w:t>Person responsible for the use of the item – science / DT / art teachers, maintenance personnel or caretakers, cleaners.</w:t>
            </w:r>
          </w:p>
        </w:tc>
        <w:tc>
          <w:tcPr>
            <w:tcW w:w="2325" w:type="dxa"/>
          </w:tcPr>
          <w:p w14:paraId="7717D1A2" w14:textId="0AB1E594" w:rsidR="00076037" w:rsidRPr="00AA41C8" w:rsidRDefault="004A00D8" w:rsidP="00076037">
            <w:pPr>
              <w:rPr>
                <w:sz w:val="24"/>
                <w:szCs w:val="24"/>
              </w:rPr>
            </w:pPr>
            <w:r w:rsidRPr="00AA41C8">
              <w:rPr>
                <w:sz w:val="24"/>
                <w:szCs w:val="24"/>
              </w:rPr>
              <w:t xml:space="preserve">The people who use these substances are best placed to check them, and access to the safety data sheets should be open to all. </w:t>
            </w:r>
          </w:p>
        </w:tc>
      </w:tr>
      <w:tr w:rsidR="00076037" w:rsidRPr="00AA41C8" w14:paraId="19D7F6AE" w14:textId="67D22105" w:rsidTr="00076037">
        <w:tc>
          <w:tcPr>
            <w:tcW w:w="2323" w:type="dxa"/>
            <w:shd w:val="clear" w:color="auto" w:fill="B4C6E7" w:themeFill="accent1" w:themeFillTint="66"/>
          </w:tcPr>
          <w:p w14:paraId="755481CC" w14:textId="4F228AFC" w:rsidR="00076037" w:rsidRPr="00AA41C8" w:rsidRDefault="00076037" w:rsidP="00076037">
            <w:pPr>
              <w:rPr>
                <w:b/>
                <w:sz w:val="24"/>
                <w:szCs w:val="24"/>
              </w:rPr>
            </w:pPr>
            <w:r w:rsidRPr="00AA41C8">
              <w:rPr>
                <w:b/>
                <w:sz w:val="24"/>
                <w:szCs w:val="24"/>
              </w:rPr>
              <w:t>What should I be looking for?</w:t>
            </w:r>
          </w:p>
        </w:tc>
        <w:tc>
          <w:tcPr>
            <w:tcW w:w="2323" w:type="dxa"/>
          </w:tcPr>
          <w:p w14:paraId="46046B1E" w14:textId="7B7CEEB7" w:rsidR="00076037" w:rsidRPr="00AA41C8" w:rsidRDefault="004308CD" w:rsidP="00076037">
            <w:pPr>
              <w:rPr>
                <w:sz w:val="24"/>
                <w:szCs w:val="24"/>
              </w:rPr>
            </w:pPr>
            <w:r w:rsidRPr="00AA41C8">
              <w:rPr>
                <w:sz w:val="24"/>
                <w:szCs w:val="24"/>
              </w:rPr>
              <w:t xml:space="preserve">The note and link below </w:t>
            </w:r>
            <w:proofErr w:type="gramStart"/>
            <w:r w:rsidRPr="00AA41C8">
              <w:rPr>
                <w:sz w:val="24"/>
                <w:szCs w:val="24"/>
              </w:rPr>
              <w:t>gives</w:t>
            </w:r>
            <w:proofErr w:type="gramEnd"/>
            <w:r w:rsidRPr="00AA41C8">
              <w:rPr>
                <w:sz w:val="24"/>
                <w:szCs w:val="24"/>
              </w:rPr>
              <w:t xml:space="preserve"> good advice on those areas which may be at risk from arson and what to check.</w:t>
            </w:r>
          </w:p>
        </w:tc>
        <w:tc>
          <w:tcPr>
            <w:tcW w:w="2325" w:type="dxa"/>
          </w:tcPr>
          <w:p w14:paraId="328E290D" w14:textId="0532DFDB" w:rsidR="00076037" w:rsidRPr="00AA41C8" w:rsidRDefault="004308CD" w:rsidP="00076037">
            <w:pPr>
              <w:rPr>
                <w:sz w:val="24"/>
                <w:szCs w:val="24"/>
              </w:rPr>
            </w:pPr>
            <w:r w:rsidRPr="00AA41C8">
              <w:rPr>
                <w:sz w:val="24"/>
                <w:szCs w:val="24"/>
              </w:rPr>
              <w:t>Combustible materials near an ignition source, covered heaters, hazardous substances in direct sunlight (i.e., window sills), etc</w:t>
            </w:r>
          </w:p>
        </w:tc>
        <w:tc>
          <w:tcPr>
            <w:tcW w:w="2325" w:type="dxa"/>
          </w:tcPr>
          <w:p w14:paraId="12C9B8AF" w14:textId="3B647C07" w:rsidR="00076037" w:rsidRPr="00AA41C8" w:rsidRDefault="004308CD" w:rsidP="00076037">
            <w:pPr>
              <w:rPr>
                <w:sz w:val="24"/>
                <w:szCs w:val="24"/>
              </w:rPr>
            </w:pPr>
            <w:r w:rsidRPr="00AA41C8">
              <w:rPr>
                <w:sz w:val="24"/>
                <w:szCs w:val="24"/>
              </w:rPr>
              <w:t>Safe egress of all persons from the premises.  The note below sends you to a PEEP guidance note.</w:t>
            </w:r>
          </w:p>
        </w:tc>
        <w:tc>
          <w:tcPr>
            <w:tcW w:w="2325" w:type="dxa"/>
          </w:tcPr>
          <w:p w14:paraId="5FBEC6B2" w14:textId="6817C5B9" w:rsidR="00076037" w:rsidRPr="00AA41C8" w:rsidRDefault="000B55E2" w:rsidP="00076037">
            <w:pPr>
              <w:rPr>
                <w:sz w:val="24"/>
                <w:szCs w:val="24"/>
              </w:rPr>
            </w:pPr>
            <w:r w:rsidRPr="00AA41C8">
              <w:rPr>
                <w:sz w:val="24"/>
                <w:szCs w:val="24"/>
              </w:rPr>
              <w:t>Check your premises for changes in evacuation routes</w:t>
            </w:r>
            <w:r w:rsidR="004308CD" w:rsidRPr="00AA41C8">
              <w:rPr>
                <w:sz w:val="24"/>
                <w:szCs w:val="24"/>
              </w:rPr>
              <w:t xml:space="preserve">, design or </w:t>
            </w:r>
            <w:r w:rsidRPr="00AA41C8">
              <w:rPr>
                <w:sz w:val="24"/>
                <w:szCs w:val="24"/>
              </w:rPr>
              <w:t xml:space="preserve">fabric of the building </w:t>
            </w:r>
            <w:r w:rsidR="004308CD" w:rsidRPr="00AA41C8">
              <w:rPr>
                <w:sz w:val="24"/>
                <w:szCs w:val="24"/>
              </w:rPr>
              <w:t>etc</w:t>
            </w:r>
          </w:p>
        </w:tc>
        <w:tc>
          <w:tcPr>
            <w:tcW w:w="2325" w:type="dxa"/>
          </w:tcPr>
          <w:p w14:paraId="34D9928D" w14:textId="53165697" w:rsidR="00076037" w:rsidRPr="00AA41C8" w:rsidRDefault="001F0EB3" w:rsidP="00076037">
            <w:pPr>
              <w:rPr>
                <w:sz w:val="24"/>
                <w:szCs w:val="24"/>
              </w:rPr>
            </w:pPr>
            <w:r w:rsidRPr="00AA41C8">
              <w:rPr>
                <w:sz w:val="24"/>
                <w:szCs w:val="24"/>
              </w:rPr>
              <w:t xml:space="preserve">There is guidance on visual checks for electrical items </w:t>
            </w:r>
            <w:r w:rsidR="004A00D8" w:rsidRPr="00AA41C8">
              <w:rPr>
                <w:sz w:val="24"/>
                <w:szCs w:val="24"/>
              </w:rPr>
              <w:t>at the link below.</w:t>
            </w:r>
          </w:p>
        </w:tc>
        <w:tc>
          <w:tcPr>
            <w:tcW w:w="2325" w:type="dxa"/>
          </w:tcPr>
          <w:p w14:paraId="37C2D102" w14:textId="21F2FC89" w:rsidR="00076037" w:rsidRPr="00AA41C8" w:rsidRDefault="004A00D8" w:rsidP="00076037">
            <w:pPr>
              <w:rPr>
                <w:sz w:val="24"/>
                <w:szCs w:val="24"/>
              </w:rPr>
            </w:pPr>
            <w:r w:rsidRPr="00AA41C8">
              <w:rPr>
                <w:sz w:val="24"/>
                <w:szCs w:val="24"/>
              </w:rPr>
              <w:t>Be vigilant for signs of smoking – spent matches, cigarette butts etc.  Ensure that there is nothing alight and consult Senior Leaders of the school to eradicate smoking.</w:t>
            </w:r>
          </w:p>
        </w:tc>
        <w:tc>
          <w:tcPr>
            <w:tcW w:w="2325" w:type="dxa"/>
          </w:tcPr>
          <w:p w14:paraId="337E2FF5" w14:textId="50BBDE73" w:rsidR="00076037" w:rsidRPr="00AA41C8" w:rsidRDefault="004A00D8" w:rsidP="00076037">
            <w:pPr>
              <w:rPr>
                <w:sz w:val="24"/>
                <w:szCs w:val="24"/>
              </w:rPr>
            </w:pPr>
            <w:r w:rsidRPr="00AA41C8">
              <w:rPr>
                <w:sz w:val="24"/>
                <w:szCs w:val="24"/>
              </w:rPr>
              <w:t>Receive guidance from safety data sheets and manufacturers.  There are HSE documents which will aid this visual check. Ensure power sources are also checked.</w:t>
            </w:r>
          </w:p>
        </w:tc>
        <w:tc>
          <w:tcPr>
            <w:tcW w:w="2325" w:type="dxa"/>
          </w:tcPr>
          <w:p w14:paraId="0349AFAF" w14:textId="4DA61318" w:rsidR="00076037" w:rsidRPr="00AA41C8" w:rsidRDefault="004A00D8" w:rsidP="00076037">
            <w:pPr>
              <w:rPr>
                <w:sz w:val="24"/>
                <w:szCs w:val="24"/>
              </w:rPr>
            </w:pPr>
            <w:r w:rsidRPr="00AA41C8">
              <w:rPr>
                <w:sz w:val="24"/>
                <w:szCs w:val="24"/>
              </w:rPr>
              <w:t xml:space="preserve">Not to be placed near heat sources (and in some cases, light sources).  Appropriate storage – usually metal, locked cabinets. </w:t>
            </w:r>
          </w:p>
        </w:tc>
      </w:tr>
      <w:tr w:rsidR="004A00D8" w:rsidRPr="00AA41C8" w14:paraId="6E76D67B" w14:textId="3CE59182" w:rsidTr="00594C1A">
        <w:tc>
          <w:tcPr>
            <w:tcW w:w="2323" w:type="dxa"/>
            <w:shd w:val="clear" w:color="auto" w:fill="B4C6E7" w:themeFill="accent1" w:themeFillTint="66"/>
          </w:tcPr>
          <w:p w14:paraId="0D1F2151" w14:textId="69417FA6" w:rsidR="004A00D8" w:rsidRPr="00AA41C8" w:rsidRDefault="004A00D8" w:rsidP="00076037">
            <w:pPr>
              <w:rPr>
                <w:b/>
                <w:sz w:val="24"/>
                <w:szCs w:val="24"/>
              </w:rPr>
            </w:pPr>
            <w:r w:rsidRPr="00AA41C8">
              <w:rPr>
                <w:b/>
                <w:sz w:val="24"/>
                <w:szCs w:val="24"/>
              </w:rPr>
              <w:t>Should I record the results of the check?</w:t>
            </w:r>
          </w:p>
        </w:tc>
        <w:tc>
          <w:tcPr>
            <w:tcW w:w="18598" w:type="dxa"/>
            <w:gridSpan w:val="8"/>
          </w:tcPr>
          <w:p w14:paraId="4E0C0643" w14:textId="1B0E3FE3" w:rsidR="004A00D8" w:rsidRPr="00AA41C8" w:rsidRDefault="004A00D8" w:rsidP="00076037">
            <w:pPr>
              <w:rPr>
                <w:sz w:val="24"/>
                <w:szCs w:val="24"/>
              </w:rPr>
            </w:pPr>
            <w:r w:rsidRPr="00AA41C8">
              <w:rPr>
                <w:sz w:val="24"/>
                <w:szCs w:val="24"/>
              </w:rPr>
              <w:t>Be guided by the foreseeability of the hazard in question, but it is always best practice to record that checks have been carried out so that evidence can be sought in the event of an incident.  With some of the topics above, you will receive ‘competent person’ records of such checks, but often, in-house checks do not get ‘ticked off’.  It may be useful to either add these items to your fire log book / fire file or to have a separate book which can be carried around and used for daily checks – do not forget the signature of the person recording, and date of the check.</w:t>
            </w:r>
          </w:p>
        </w:tc>
      </w:tr>
    </w:tbl>
    <w:p w14:paraId="71F93BBE" w14:textId="7A458142" w:rsidR="00470CBA" w:rsidRDefault="00470CBA" w:rsidP="002946FB">
      <w:pPr>
        <w:rPr>
          <w:b/>
        </w:rPr>
      </w:pPr>
    </w:p>
    <w:p w14:paraId="577CC885" w14:textId="77777777" w:rsidR="004A00D8" w:rsidRDefault="004A00D8" w:rsidP="002946FB">
      <w:pPr>
        <w:rPr>
          <w:b/>
        </w:rPr>
      </w:pPr>
    </w:p>
    <w:p w14:paraId="2763FE85" w14:textId="581B77F6" w:rsidR="000223A5" w:rsidRPr="00AA41C8" w:rsidRDefault="00076037" w:rsidP="004A00D8">
      <w:pPr>
        <w:spacing w:after="0" w:line="360" w:lineRule="auto"/>
        <w:rPr>
          <w:b/>
          <w:color w:val="FF0000"/>
          <w:sz w:val="32"/>
          <w:szCs w:val="24"/>
        </w:rPr>
      </w:pPr>
      <w:r w:rsidRPr="00AA41C8">
        <w:rPr>
          <w:b/>
          <w:color w:val="FF0000"/>
          <w:sz w:val="28"/>
        </w:rPr>
        <w:t>Notes</w:t>
      </w:r>
      <w:r w:rsidR="00AA41C8" w:rsidRPr="00AA41C8">
        <w:rPr>
          <w:b/>
          <w:color w:val="FF0000"/>
          <w:sz w:val="28"/>
        </w:rPr>
        <w:t xml:space="preserve"> and reminders</w:t>
      </w:r>
      <w:r w:rsidRPr="00AA41C8">
        <w:rPr>
          <w:b/>
          <w:color w:val="FF0000"/>
          <w:sz w:val="28"/>
        </w:rPr>
        <w:t>:</w:t>
      </w:r>
      <w:r w:rsidR="00102097" w:rsidRPr="00AA41C8">
        <w:rPr>
          <w:b/>
          <w:color w:val="FF0000"/>
          <w:sz w:val="28"/>
        </w:rPr>
        <w:t xml:space="preserve"> </w:t>
      </w:r>
    </w:p>
    <w:p w14:paraId="376A2665" w14:textId="1EE3101C" w:rsidR="000B55E2" w:rsidRPr="004A00D8" w:rsidRDefault="000B55E2" w:rsidP="004A00D8">
      <w:pPr>
        <w:pStyle w:val="ListParagraph"/>
        <w:numPr>
          <w:ilvl w:val="0"/>
          <w:numId w:val="1"/>
        </w:numPr>
        <w:spacing w:after="0" w:line="360" w:lineRule="auto"/>
        <w:ind w:left="0"/>
        <w:rPr>
          <w:sz w:val="28"/>
          <w:szCs w:val="24"/>
        </w:rPr>
      </w:pPr>
      <w:r w:rsidRPr="004A00D8">
        <w:rPr>
          <w:sz w:val="28"/>
          <w:szCs w:val="24"/>
        </w:rPr>
        <w:t>Methods to reduce the risk of arson can be found at Part Two, Section One of the ‘</w:t>
      </w:r>
      <w:bookmarkStart w:id="0" w:name="_GoBack"/>
      <w:r w:rsidRPr="00D44952">
        <w:rPr>
          <w:b/>
          <w:sz w:val="28"/>
          <w:szCs w:val="24"/>
        </w:rPr>
        <w:t>Fire Safety Risk Assessment: Educational Premises’</w:t>
      </w:r>
      <w:r w:rsidRPr="004A00D8">
        <w:rPr>
          <w:sz w:val="28"/>
          <w:szCs w:val="24"/>
        </w:rPr>
        <w:t xml:space="preserve"> </w:t>
      </w:r>
      <w:bookmarkEnd w:id="0"/>
      <w:r w:rsidRPr="004A00D8">
        <w:rPr>
          <w:sz w:val="28"/>
          <w:szCs w:val="24"/>
        </w:rPr>
        <w:t xml:space="preserve">document at: </w:t>
      </w:r>
      <w:hyperlink r:id="rId6" w:history="1">
        <w:r w:rsidRPr="004A00D8">
          <w:rPr>
            <w:rStyle w:val="Hyperlink"/>
            <w:sz w:val="28"/>
            <w:szCs w:val="24"/>
          </w:rPr>
          <w:t>https://www.gov.uk/government/uploads/system/uploads/attachment_data/file/14887/fsra-educational-premises.pdf</w:t>
        </w:r>
      </w:hyperlink>
      <w:r w:rsidRPr="004A00D8">
        <w:rPr>
          <w:sz w:val="28"/>
          <w:szCs w:val="24"/>
        </w:rPr>
        <w:t xml:space="preserve"> </w:t>
      </w:r>
    </w:p>
    <w:p w14:paraId="07EDD353" w14:textId="6F4B1BF8" w:rsidR="00D25025" w:rsidRPr="004A00D8" w:rsidRDefault="00D25025" w:rsidP="004A00D8">
      <w:pPr>
        <w:pStyle w:val="ListParagraph"/>
        <w:numPr>
          <w:ilvl w:val="0"/>
          <w:numId w:val="1"/>
        </w:numPr>
        <w:spacing w:after="0" w:line="360" w:lineRule="auto"/>
        <w:ind w:left="0"/>
        <w:rPr>
          <w:sz w:val="28"/>
          <w:szCs w:val="24"/>
        </w:rPr>
      </w:pPr>
      <w:r w:rsidRPr="004A00D8">
        <w:rPr>
          <w:sz w:val="28"/>
          <w:szCs w:val="24"/>
        </w:rPr>
        <w:t xml:space="preserve">Notes on </w:t>
      </w:r>
      <w:r w:rsidRPr="00D44952">
        <w:rPr>
          <w:b/>
          <w:sz w:val="28"/>
          <w:szCs w:val="24"/>
        </w:rPr>
        <w:t>housekeeping</w:t>
      </w:r>
      <w:r w:rsidRPr="004A00D8">
        <w:rPr>
          <w:sz w:val="28"/>
          <w:szCs w:val="24"/>
        </w:rPr>
        <w:t xml:space="preserve"> and the storage of anything in buildings can also be found at the link above.</w:t>
      </w:r>
    </w:p>
    <w:p w14:paraId="4A32158F" w14:textId="264835BA" w:rsidR="00076037" w:rsidRPr="004A00D8" w:rsidRDefault="00076037" w:rsidP="004A00D8">
      <w:pPr>
        <w:pStyle w:val="ListParagraph"/>
        <w:numPr>
          <w:ilvl w:val="0"/>
          <w:numId w:val="1"/>
        </w:numPr>
        <w:spacing w:after="0" w:line="360" w:lineRule="auto"/>
        <w:ind w:left="0"/>
        <w:rPr>
          <w:sz w:val="28"/>
          <w:szCs w:val="24"/>
        </w:rPr>
      </w:pPr>
      <w:r w:rsidRPr="004A00D8">
        <w:rPr>
          <w:sz w:val="28"/>
          <w:szCs w:val="24"/>
        </w:rPr>
        <w:t xml:space="preserve">A </w:t>
      </w:r>
      <w:r w:rsidRPr="00D44952">
        <w:rPr>
          <w:b/>
          <w:sz w:val="28"/>
          <w:szCs w:val="24"/>
        </w:rPr>
        <w:t>PEEP is a ‘Personal Emergency Evacuation Plan’.</w:t>
      </w:r>
      <w:r w:rsidRPr="004A00D8">
        <w:rPr>
          <w:sz w:val="28"/>
          <w:szCs w:val="24"/>
        </w:rPr>
        <w:t xml:space="preserve">  Information on PEEPs can be found at: </w:t>
      </w:r>
      <w:hyperlink r:id="rId7" w:history="1">
        <w:r w:rsidR="004308CD" w:rsidRPr="004A00D8">
          <w:rPr>
            <w:rStyle w:val="Hyperlink"/>
            <w:sz w:val="28"/>
            <w:szCs w:val="24"/>
          </w:rPr>
          <w:t>https://www.suffolklearning.co.uk/leadership-staff-development/health-safety-wellbeing/fire-precaution-information</w:t>
        </w:r>
      </w:hyperlink>
    </w:p>
    <w:p w14:paraId="3B41E4D5" w14:textId="15A50B8F" w:rsidR="00B613EA" w:rsidRPr="004A00D8" w:rsidRDefault="00B613EA" w:rsidP="004A00D8">
      <w:pPr>
        <w:pStyle w:val="ListParagraph"/>
        <w:numPr>
          <w:ilvl w:val="0"/>
          <w:numId w:val="1"/>
        </w:numPr>
        <w:spacing w:after="0" w:line="360" w:lineRule="auto"/>
        <w:ind w:left="0"/>
        <w:rPr>
          <w:sz w:val="28"/>
          <w:szCs w:val="24"/>
        </w:rPr>
      </w:pPr>
      <w:r w:rsidRPr="004A00D8">
        <w:rPr>
          <w:sz w:val="28"/>
          <w:szCs w:val="24"/>
        </w:rPr>
        <w:t xml:space="preserve">Information on whether your </w:t>
      </w:r>
      <w:r w:rsidRPr="00D44952">
        <w:rPr>
          <w:b/>
          <w:sz w:val="28"/>
          <w:szCs w:val="24"/>
        </w:rPr>
        <w:t>building is going to have significant alterations</w:t>
      </w:r>
      <w:r w:rsidRPr="004A00D8">
        <w:rPr>
          <w:sz w:val="28"/>
          <w:szCs w:val="24"/>
        </w:rPr>
        <w:t xml:space="preserve"> can either be sought from the PRP or from your Property Advisor.  It is wise to </w:t>
      </w:r>
      <w:proofErr w:type="gramStart"/>
      <w:r w:rsidRPr="004A00D8">
        <w:rPr>
          <w:sz w:val="28"/>
          <w:szCs w:val="24"/>
        </w:rPr>
        <w:t>plan ahead</w:t>
      </w:r>
      <w:proofErr w:type="gramEnd"/>
      <w:r w:rsidRPr="004A00D8">
        <w:rPr>
          <w:sz w:val="28"/>
          <w:szCs w:val="24"/>
        </w:rPr>
        <w:t xml:space="preserve"> and if possible, work with relevant others to ensure easy evacuations of all staff, pupils and visitors from your school.</w:t>
      </w:r>
    </w:p>
    <w:p w14:paraId="77B931F5" w14:textId="62FC612B" w:rsidR="00B613EA" w:rsidRPr="004A00D8" w:rsidRDefault="00B613EA" w:rsidP="004A00D8">
      <w:pPr>
        <w:pStyle w:val="ListParagraph"/>
        <w:numPr>
          <w:ilvl w:val="0"/>
          <w:numId w:val="1"/>
        </w:numPr>
        <w:spacing w:after="0" w:line="360" w:lineRule="auto"/>
        <w:ind w:left="0"/>
        <w:rPr>
          <w:sz w:val="28"/>
          <w:szCs w:val="24"/>
        </w:rPr>
      </w:pPr>
      <w:r w:rsidRPr="00D44952">
        <w:rPr>
          <w:b/>
          <w:sz w:val="28"/>
          <w:szCs w:val="24"/>
        </w:rPr>
        <w:t>Electrical safety visual checks</w:t>
      </w:r>
      <w:r w:rsidRPr="004A00D8">
        <w:rPr>
          <w:sz w:val="28"/>
          <w:szCs w:val="24"/>
        </w:rPr>
        <w:t xml:space="preserve"> information can be found at: </w:t>
      </w:r>
      <w:hyperlink r:id="rId8" w:history="1">
        <w:r w:rsidRPr="004A00D8">
          <w:rPr>
            <w:rStyle w:val="Hyperlink"/>
            <w:sz w:val="28"/>
            <w:szCs w:val="24"/>
          </w:rPr>
          <w:t>https://www.suffolklearning.co.uk/leadership-staff-development/health-safety-wellbeing/fire-precaution-information</w:t>
        </w:r>
      </w:hyperlink>
    </w:p>
    <w:p w14:paraId="07289607" w14:textId="5FEFDD12" w:rsidR="00B613EA" w:rsidRPr="004A00D8" w:rsidRDefault="00B613EA" w:rsidP="004A00D8">
      <w:pPr>
        <w:pStyle w:val="ListParagraph"/>
        <w:numPr>
          <w:ilvl w:val="0"/>
          <w:numId w:val="1"/>
        </w:numPr>
        <w:spacing w:after="0" w:line="360" w:lineRule="auto"/>
        <w:ind w:left="0"/>
        <w:rPr>
          <w:sz w:val="28"/>
          <w:szCs w:val="24"/>
        </w:rPr>
      </w:pPr>
      <w:r w:rsidRPr="004A00D8">
        <w:rPr>
          <w:sz w:val="28"/>
          <w:szCs w:val="24"/>
        </w:rPr>
        <w:t xml:space="preserve">There should be a complete </w:t>
      </w:r>
      <w:r w:rsidRPr="00D44952">
        <w:rPr>
          <w:b/>
          <w:sz w:val="28"/>
          <w:szCs w:val="24"/>
        </w:rPr>
        <w:t>ban of smoking</w:t>
      </w:r>
      <w:r w:rsidRPr="004A00D8">
        <w:rPr>
          <w:sz w:val="28"/>
          <w:szCs w:val="24"/>
        </w:rPr>
        <w:t xml:space="preserve"> on all school premises.</w:t>
      </w:r>
    </w:p>
    <w:p w14:paraId="18E7F21E" w14:textId="3FC4296C" w:rsidR="004308CD" w:rsidRPr="004A00D8" w:rsidRDefault="004308CD" w:rsidP="004A00D8">
      <w:pPr>
        <w:pStyle w:val="ListParagraph"/>
        <w:numPr>
          <w:ilvl w:val="0"/>
          <w:numId w:val="1"/>
        </w:numPr>
        <w:spacing w:after="0" w:line="360" w:lineRule="auto"/>
        <w:ind w:left="0"/>
        <w:rPr>
          <w:rFonts w:cstheme="minorHAnsi"/>
          <w:i/>
          <w:sz w:val="28"/>
          <w:szCs w:val="24"/>
        </w:rPr>
      </w:pPr>
      <w:r w:rsidRPr="00D44952">
        <w:rPr>
          <w:b/>
          <w:sz w:val="28"/>
          <w:szCs w:val="24"/>
        </w:rPr>
        <w:t>Machinery checks</w:t>
      </w:r>
      <w:r w:rsidRPr="004A00D8">
        <w:rPr>
          <w:sz w:val="28"/>
          <w:szCs w:val="24"/>
        </w:rPr>
        <w:t xml:space="preserve"> are often inspected for the safety of the actual mechanism of the item, and Provision and Use of Work Equipment Regulations (PUWER) requires compliance.  However, the HSE state that: “</w:t>
      </w:r>
      <w:r w:rsidRPr="004A00D8">
        <w:rPr>
          <w:rFonts w:cstheme="minorHAnsi"/>
          <w:i/>
          <w:sz w:val="28"/>
          <w:szCs w:val="24"/>
        </w:rPr>
        <w:t xml:space="preserve">The purpose of an inspection is to identify whether work equipment can be operated, adjusted and maintained safely – with any deterioration detected and remedied before it results in a health and safety risk… in many cases, a quick visual check before use will be sufficient. However, inspection is necessary for any equipment where significant risks to health and safety may arise from </w:t>
      </w:r>
      <w:r w:rsidRPr="004A00D8">
        <w:rPr>
          <w:rFonts w:cstheme="minorHAnsi"/>
          <w:b/>
          <w:i/>
          <w:sz w:val="28"/>
          <w:szCs w:val="24"/>
        </w:rPr>
        <w:t>incorrect installation, reinstallation, deterioration</w:t>
      </w:r>
      <w:r w:rsidRPr="004A00D8">
        <w:rPr>
          <w:rFonts w:cstheme="minorHAnsi"/>
          <w:i/>
          <w:sz w:val="28"/>
          <w:szCs w:val="24"/>
        </w:rPr>
        <w:t xml:space="preserve"> or any other circumstances. The need for inspection and inspection frequencies should be determined through risk assessment.” </w:t>
      </w:r>
      <w:r w:rsidRPr="004A00D8">
        <w:rPr>
          <w:rFonts w:cstheme="minorHAnsi"/>
          <w:sz w:val="28"/>
          <w:szCs w:val="24"/>
        </w:rPr>
        <w:t xml:space="preserve">High Schools will more likely have such equipment within DT, science or art classrooms, but it is likely ALL schools have some form of machinery in use by caretakers or cleaners. </w:t>
      </w:r>
      <w:r w:rsidR="005E0AA8" w:rsidRPr="004A00D8">
        <w:rPr>
          <w:rFonts w:cstheme="minorHAnsi"/>
          <w:sz w:val="28"/>
          <w:szCs w:val="24"/>
        </w:rPr>
        <w:t xml:space="preserve">Further HSE information on this topic can be found at: </w:t>
      </w:r>
      <w:hyperlink r:id="rId9" w:history="1">
        <w:r w:rsidR="005E0AA8" w:rsidRPr="004A00D8">
          <w:rPr>
            <w:rStyle w:val="Hyperlink"/>
            <w:rFonts w:cstheme="minorHAnsi"/>
            <w:sz w:val="28"/>
            <w:szCs w:val="24"/>
          </w:rPr>
          <w:t>http://www.hse.gov.uk/work-equipment-machinery/inspection.htm</w:t>
        </w:r>
      </w:hyperlink>
      <w:r w:rsidR="005E0AA8" w:rsidRPr="004A00D8">
        <w:rPr>
          <w:rFonts w:cstheme="minorHAnsi"/>
          <w:sz w:val="28"/>
          <w:szCs w:val="24"/>
        </w:rPr>
        <w:t xml:space="preserve"> </w:t>
      </w:r>
    </w:p>
    <w:p w14:paraId="0A93C116" w14:textId="75CD7531" w:rsidR="00B613EA" w:rsidRPr="004A00D8" w:rsidRDefault="004A00D8" w:rsidP="004A00D8">
      <w:pPr>
        <w:pStyle w:val="ListParagraph"/>
        <w:numPr>
          <w:ilvl w:val="0"/>
          <w:numId w:val="1"/>
        </w:numPr>
        <w:spacing w:after="0" w:line="360" w:lineRule="auto"/>
        <w:ind w:left="0"/>
        <w:rPr>
          <w:rFonts w:cstheme="minorHAnsi"/>
          <w:i/>
          <w:sz w:val="28"/>
          <w:szCs w:val="24"/>
        </w:rPr>
      </w:pPr>
      <w:r w:rsidRPr="00D44952">
        <w:rPr>
          <w:rFonts w:cstheme="minorHAnsi"/>
          <w:b/>
          <w:sz w:val="28"/>
          <w:szCs w:val="24"/>
        </w:rPr>
        <w:t>CoSHH products</w:t>
      </w:r>
      <w:r w:rsidRPr="004A00D8">
        <w:rPr>
          <w:rFonts w:cstheme="minorHAnsi"/>
          <w:sz w:val="28"/>
          <w:szCs w:val="24"/>
        </w:rPr>
        <w:t xml:space="preserve"> should be supplied with their own </w:t>
      </w:r>
      <w:r w:rsidR="00D44952">
        <w:rPr>
          <w:rFonts w:cstheme="minorHAnsi"/>
          <w:sz w:val="28"/>
          <w:szCs w:val="24"/>
        </w:rPr>
        <w:t xml:space="preserve">material </w:t>
      </w:r>
      <w:r w:rsidRPr="004A00D8">
        <w:rPr>
          <w:rFonts w:cstheme="minorHAnsi"/>
          <w:sz w:val="28"/>
          <w:szCs w:val="24"/>
        </w:rPr>
        <w:t xml:space="preserve">safety data sheets </w:t>
      </w:r>
      <w:r w:rsidR="00D44952">
        <w:rPr>
          <w:rFonts w:cstheme="minorHAnsi"/>
          <w:sz w:val="28"/>
          <w:szCs w:val="24"/>
        </w:rPr>
        <w:t xml:space="preserve">(MSDS) and risk assessments </w:t>
      </w:r>
      <w:r w:rsidRPr="004A00D8">
        <w:rPr>
          <w:rFonts w:cstheme="minorHAnsi"/>
          <w:sz w:val="28"/>
          <w:szCs w:val="24"/>
        </w:rPr>
        <w:t>so that you understand the hazards they may present.  The fire service may also want to know about them being on your premises.</w:t>
      </w:r>
      <w:r w:rsidR="00D44952">
        <w:rPr>
          <w:rFonts w:cstheme="minorHAnsi"/>
          <w:sz w:val="28"/>
          <w:szCs w:val="24"/>
        </w:rPr>
        <w:t xml:space="preserve">  </w:t>
      </w:r>
      <w:r w:rsidR="00D44952" w:rsidRPr="00D44952">
        <w:rPr>
          <w:rFonts w:cstheme="minorHAnsi"/>
          <w:b/>
          <w:sz w:val="28"/>
          <w:szCs w:val="24"/>
        </w:rPr>
        <w:t>Oxygen cylinder storage</w:t>
      </w:r>
      <w:r w:rsidR="00D44952">
        <w:rPr>
          <w:rFonts w:cstheme="minorHAnsi"/>
          <w:sz w:val="28"/>
          <w:szCs w:val="24"/>
        </w:rPr>
        <w:t xml:space="preserve"> will need to be labelled.  Further guidance on this topic can be sourced from Nina Bickerton – Suffolk (maintained) Schools’ Health and Safety Advisor.</w:t>
      </w:r>
    </w:p>
    <w:p w14:paraId="451A7A64" w14:textId="61632768" w:rsidR="00EB47BE" w:rsidRPr="00470CBA" w:rsidRDefault="00EB47BE" w:rsidP="004A00D8">
      <w:pPr>
        <w:spacing w:after="0" w:line="360" w:lineRule="auto"/>
        <w:rPr>
          <w:sz w:val="24"/>
          <w:szCs w:val="24"/>
        </w:rPr>
      </w:pPr>
    </w:p>
    <w:p w14:paraId="2B27054C" w14:textId="77777777" w:rsidR="00711DB5" w:rsidRPr="00405703" w:rsidRDefault="00711DB5" w:rsidP="00405703">
      <w:pPr>
        <w:jc w:val="center"/>
        <w:rPr>
          <w:b/>
          <w:sz w:val="28"/>
        </w:rPr>
      </w:pPr>
    </w:p>
    <w:p w14:paraId="1F950F53" w14:textId="77777777" w:rsidR="00405703" w:rsidRDefault="00405703"/>
    <w:sectPr w:rsidR="00405703" w:rsidSect="00470CBA">
      <w:pgSz w:w="23811" w:h="16838" w:orient="landscape" w:code="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1E8A"/>
    <w:multiLevelType w:val="hybridMultilevel"/>
    <w:tmpl w:val="4578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03"/>
    <w:rsid w:val="000223A5"/>
    <w:rsid w:val="00076037"/>
    <w:rsid w:val="000B55E2"/>
    <w:rsid w:val="00102097"/>
    <w:rsid w:val="001F0EB3"/>
    <w:rsid w:val="002946FB"/>
    <w:rsid w:val="002F1C4E"/>
    <w:rsid w:val="00405703"/>
    <w:rsid w:val="004308CD"/>
    <w:rsid w:val="00470CBA"/>
    <w:rsid w:val="004A00D8"/>
    <w:rsid w:val="005E0AA8"/>
    <w:rsid w:val="00651633"/>
    <w:rsid w:val="00711DB5"/>
    <w:rsid w:val="00794D41"/>
    <w:rsid w:val="00A24A2C"/>
    <w:rsid w:val="00AA41C8"/>
    <w:rsid w:val="00B613EA"/>
    <w:rsid w:val="00BA5B5A"/>
    <w:rsid w:val="00C10C13"/>
    <w:rsid w:val="00D25025"/>
    <w:rsid w:val="00D44952"/>
    <w:rsid w:val="00EB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F9A"/>
  <w15:chartTrackingRefBased/>
  <w15:docId w15:val="{CA9E2D99-3CF7-4EEE-9C0C-977572F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7BE"/>
    <w:rPr>
      <w:color w:val="0563C1" w:themeColor="hyperlink"/>
      <w:u w:val="single"/>
    </w:rPr>
  </w:style>
  <w:style w:type="character" w:styleId="UnresolvedMention">
    <w:name w:val="Unresolved Mention"/>
    <w:basedOn w:val="DefaultParagraphFont"/>
    <w:uiPriority w:val="99"/>
    <w:semiHidden/>
    <w:unhideWhenUsed/>
    <w:rsid w:val="00EB47BE"/>
    <w:rPr>
      <w:color w:val="808080"/>
      <w:shd w:val="clear" w:color="auto" w:fill="E6E6E6"/>
    </w:rPr>
  </w:style>
  <w:style w:type="paragraph" w:styleId="ListParagraph">
    <w:name w:val="List Paragraph"/>
    <w:basedOn w:val="Normal"/>
    <w:uiPriority w:val="34"/>
    <w:qFormat/>
    <w:rsid w:val="004308CD"/>
    <w:pPr>
      <w:ind w:left="720"/>
      <w:contextualSpacing/>
    </w:pPr>
  </w:style>
  <w:style w:type="character" w:styleId="FollowedHyperlink">
    <w:name w:val="FollowedHyperlink"/>
    <w:basedOn w:val="DefaultParagraphFont"/>
    <w:uiPriority w:val="99"/>
    <w:semiHidden/>
    <w:unhideWhenUsed/>
    <w:rsid w:val="00C10C13"/>
    <w:rPr>
      <w:color w:val="954F72" w:themeColor="followedHyperlink"/>
      <w:u w:val="single"/>
    </w:rPr>
  </w:style>
  <w:style w:type="character" w:styleId="CommentReference">
    <w:name w:val="annotation reference"/>
    <w:basedOn w:val="DefaultParagraphFont"/>
    <w:uiPriority w:val="99"/>
    <w:semiHidden/>
    <w:unhideWhenUsed/>
    <w:rsid w:val="00C10C13"/>
    <w:rPr>
      <w:sz w:val="16"/>
      <w:szCs w:val="16"/>
    </w:rPr>
  </w:style>
  <w:style w:type="paragraph" w:styleId="CommentText">
    <w:name w:val="annotation text"/>
    <w:basedOn w:val="Normal"/>
    <w:link w:val="CommentTextChar"/>
    <w:uiPriority w:val="99"/>
    <w:semiHidden/>
    <w:unhideWhenUsed/>
    <w:rsid w:val="00C10C13"/>
    <w:pPr>
      <w:spacing w:line="240" w:lineRule="auto"/>
    </w:pPr>
    <w:rPr>
      <w:sz w:val="20"/>
      <w:szCs w:val="20"/>
    </w:rPr>
  </w:style>
  <w:style w:type="character" w:customStyle="1" w:styleId="CommentTextChar">
    <w:name w:val="Comment Text Char"/>
    <w:basedOn w:val="DefaultParagraphFont"/>
    <w:link w:val="CommentText"/>
    <w:uiPriority w:val="99"/>
    <w:semiHidden/>
    <w:rsid w:val="00C10C13"/>
    <w:rPr>
      <w:sz w:val="20"/>
      <w:szCs w:val="20"/>
    </w:rPr>
  </w:style>
  <w:style w:type="paragraph" w:styleId="CommentSubject">
    <w:name w:val="annotation subject"/>
    <w:basedOn w:val="CommentText"/>
    <w:next w:val="CommentText"/>
    <w:link w:val="CommentSubjectChar"/>
    <w:uiPriority w:val="99"/>
    <w:semiHidden/>
    <w:unhideWhenUsed/>
    <w:rsid w:val="00C10C13"/>
    <w:rPr>
      <w:b/>
      <w:bCs/>
    </w:rPr>
  </w:style>
  <w:style w:type="character" w:customStyle="1" w:styleId="CommentSubjectChar">
    <w:name w:val="Comment Subject Char"/>
    <w:basedOn w:val="CommentTextChar"/>
    <w:link w:val="CommentSubject"/>
    <w:uiPriority w:val="99"/>
    <w:semiHidden/>
    <w:rsid w:val="00C10C13"/>
    <w:rPr>
      <w:b/>
      <w:bCs/>
      <w:sz w:val="20"/>
      <w:szCs w:val="20"/>
    </w:rPr>
  </w:style>
  <w:style w:type="paragraph" w:styleId="BalloonText">
    <w:name w:val="Balloon Text"/>
    <w:basedOn w:val="Normal"/>
    <w:link w:val="BalloonTextChar"/>
    <w:uiPriority w:val="99"/>
    <w:semiHidden/>
    <w:unhideWhenUsed/>
    <w:rsid w:val="00C1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learning.co.uk/leadership-staff-development/health-safety-wellbeing/fire-precaution-information" TargetMode="External"/><Relationship Id="rId3" Type="http://schemas.openxmlformats.org/officeDocument/2006/relationships/settings" Target="settings.xml"/><Relationship Id="rId7" Type="http://schemas.openxmlformats.org/officeDocument/2006/relationships/hyperlink" Target="https://www.suffolklearning.co.uk/leadership-staff-development/health-safety-wellbeing/fire-precaution-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14887/fsra-educational-premises.pdf" TargetMode="External"/><Relationship Id="rId11" Type="http://schemas.openxmlformats.org/officeDocument/2006/relationships/theme" Target="theme/theme1.xml"/><Relationship Id="rId5" Type="http://schemas.openxmlformats.org/officeDocument/2006/relationships/hyperlink" Target="https://www.gov.uk/government/publications/fire-safety-risk-assessment-educational-premi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e.gov.uk/work-equipment-machinery/insp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2018-03-16T09:09:00Z</dcterms:created>
  <dcterms:modified xsi:type="dcterms:W3CDTF">2018-03-16T09:09:00Z</dcterms:modified>
</cp:coreProperties>
</file>