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6471" w14:textId="2244272D" w:rsidR="009126A8" w:rsidRDefault="009126A8" w:rsidP="00912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32"/>
          <w:szCs w:val="24"/>
        </w:rPr>
      </w:pPr>
      <w:r w:rsidRPr="009126A8">
        <w:rPr>
          <w:rFonts w:cstheme="minorHAnsi"/>
          <w:b/>
          <w:color w:val="231F20"/>
          <w:sz w:val="32"/>
          <w:szCs w:val="24"/>
        </w:rPr>
        <w:t>Review of Fire Risk Assessments for Educational Premises</w:t>
      </w:r>
    </w:p>
    <w:p w14:paraId="048C1306" w14:textId="77777777" w:rsidR="00A024C7" w:rsidRDefault="00A024C7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31F20"/>
          <w:sz w:val="25"/>
          <w:szCs w:val="25"/>
        </w:rPr>
      </w:pPr>
    </w:p>
    <w:p w14:paraId="7207901E" w14:textId="19704ECF" w:rsidR="000D1563" w:rsidRPr="00A024C7" w:rsidRDefault="009126A8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 xml:space="preserve"> </w:t>
      </w:r>
      <w:r w:rsidR="006E227C" w:rsidRPr="00A024C7">
        <w:rPr>
          <w:sz w:val="25"/>
          <w:szCs w:val="25"/>
        </w:rPr>
        <w:t xml:space="preserve">You should regularly monitor your fire safety arrangements to ensure the risk is being effectively controlled. </w:t>
      </w:r>
      <w:r w:rsidR="000D1563" w:rsidRPr="00A024C7">
        <w:rPr>
          <w:rFonts w:cstheme="minorHAnsi"/>
          <w:color w:val="231F20"/>
          <w:sz w:val="25"/>
          <w:szCs w:val="25"/>
        </w:rPr>
        <w:t>If you have any reason to suspect that your fire risk assessment is no longer valid</w:t>
      </w:r>
      <w:r w:rsidRPr="00A024C7">
        <w:rPr>
          <w:rFonts w:cstheme="minorHAnsi"/>
          <w:color w:val="231F20"/>
          <w:sz w:val="25"/>
          <w:szCs w:val="25"/>
        </w:rPr>
        <w:t xml:space="preserve"> </w:t>
      </w:r>
      <w:r w:rsidR="000D1563" w:rsidRPr="00A024C7">
        <w:rPr>
          <w:rFonts w:cstheme="minorHAnsi"/>
          <w:color w:val="231F20"/>
          <w:sz w:val="25"/>
          <w:szCs w:val="25"/>
        </w:rPr>
        <w:t>or there has been a significant change in your premises that has affected your fire</w:t>
      </w:r>
      <w:r w:rsidRPr="00A024C7">
        <w:rPr>
          <w:rFonts w:cstheme="minorHAnsi"/>
          <w:color w:val="231F20"/>
          <w:sz w:val="25"/>
          <w:szCs w:val="25"/>
        </w:rPr>
        <w:t xml:space="preserve"> </w:t>
      </w:r>
      <w:r w:rsidR="000D1563" w:rsidRPr="00A024C7">
        <w:rPr>
          <w:rFonts w:cstheme="minorHAnsi"/>
          <w:color w:val="231F20"/>
          <w:sz w:val="25"/>
          <w:szCs w:val="25"/>
        </w:rPr>
        <w:t>precautions, you will need to review your assessment and if necessary revise it.</w:t>
      </w:r>
    </w:p>
    <w:p w14:paraId="74262718" w14:textId="77777777" w:rsidR="009126A8" w:rsidRPr="00A024C7" w:rsidRDefault="009126A8" w:rsidP="0091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</w:p>
    <w:p w14:paraId="2730B866" w14:textId="1DCC1486" w:rsidR="000D1563" w:rsidRPr="00A024C7" w:rsidRDefault="000D1563" w:rsidP="0091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5"/>
          <w:szCs w:val="25"/>
        </w:rPr>
      </w:pPr>
      <w:r w:rsidRPr="00A024C7">
        <w:rPr>
          <w:rFonts w:cstheme="minorHAnsi"/>
          <w:b/>
          <w:color w:val="FF0000"/>
          <w:sz w:val="25"/>
          <w:szCs w:val="25"/>
        </w:rPr>
        <w:t>Reasons for review could include:</w:t>
      </w:r>
    </w:p>
    <w:p w14:paraId="393C0856" w14:textId="77777777" w:rsidR="009126A8" w:rsidRPr="00A024C7" w:rsidRDefault="009126A8" w:rsidP="0091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</w:p>
    <w:p w14:paraId="251C056B" w14:textId="0DBB5D7E" w:rsidR="000D1563" w:rsidRPr="00A024C7" w:rsidRDefault="000D1563" w:rsidP="00912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changes to work activities or the way that you organise them, including the introduction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of new equipment (e.g. installation of computer equipment in a classroom)</w:t>
      </w:r>
    </w:p>
    <w:p w14:paraId="3F08A9AC" w14:textId="67FE6477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a change of use to part of your premises (e.g. a school hall for public performances)</w:t>
      </w:r>
    </w:p>
    <w:p w14:paraId="4A61F01E" w14:textId="25612431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alterations to the building, including the internal layout</w:t>
      </w:r>
    </w:p>
    <w:p w14:paraId="2A45976D" w14:textId="1AB6220D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substantial changes to furniture and fixings</w:t>
      </w:r>
    </w:p>
    <w:p w14:paraId="4ACEF2FC" w14:textId="584513AE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the introduction, change of use or increase in the storage of hazardous substances</w:t>
      </w:r>
    </w:p>
    <w:p w14:paraId="004C84D8" w14:textId="756207A9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the failure of fire precautions, e.g. fire-detection systems and alarm systems,</w:t>
      </w:r>
    </w:p>
    <w:p w14:paraId="1290F709" w14:textId="1AF70910" w:rsidR="000D1563" w:rsidRPr="00A024C7" w:rsidRDefault="00576AD7" w:rsidP="00912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 xml:space="preserve">the installation of </w:t>
      </w:r>
      <w:r w:rsidR="000D1563" w:rsidRPr="00A024C7">
        <w:rPr>
          <w:rFonts w:cstheme="minorHAnsi"/>
          <w:color w:val="231F20"/>
          <w:sz w:val="25"/>
          <w:szCs w:val="25"/>
        </w:rPr>
        <w:t>life safety sprinklers or ventilation systems</w:t>
      </w:r>
    </w:p>
    <w:p w14:paraId="5E61E052" w14:textId="442F28D1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significant changes to display material</w:t>
      </w:r>
      <w:r w:rsidR="00576AD7" w:rsidRPr="00A024C7">
        <w:rPr>
          <w:rFonts w:cstheme="minorHAnsi"/>
          <w:color w:val="231F20"/>
          <w:sz w:val="25"/>
          <w:szCs w:val="25"/>
        </w:rPr>
        <w:t xml:space="preserve"> or location</w:t>
      </w:r>
    </w:p>
    <w:p w14:paraId="6BE7A001" w14:textId="16FB9926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a significant increase in the number of people present</w:t>
      </w:r>
      <w:r w:rsidR="009126A8" w:rsidRPr="00A024C7">
        <w:rPr>
          <w:rFonts w:cstheme="minorHAnsi"/>
          <w:color w:val="231F20"/>
          <w:sz w:val="25"/>
          <w:szCs w:val="25"/>
        </w:rPr>
        <w:t>,</w:t>
      </w:r>
      <w:r w:rsidRPr="00A024C7">
        <w:rPr>
          <w:rFonts w:cstheme="minorHAnsi"/>
          <w:color w:val="231F20"/>
          <w:sz w:val="25"/>
          <w:szCs w:val="25"/>
        </w:rPr>
        <w:t xml:space="preserve"> and</w:t>
      </w:r>
    </w:p>
    <w:p w14:paraId="2FF24033" w14:textId="3249B296" w:rsidR="000D1563" w:rsidRPr="00A024C7" w:rsidRDefault="000D1563" w:rsidP="00912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the presence of people with some form of disability.</w:t>
      </w:r>
    </w:p>
    <w:p w14:paraId="7CC487DA" w14:textId="01CD626E" w:rsidR="009126A8" w:rsidRPr="00A024C7" w:rsidRDefault="009126A8" w:rsidP="0091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5"/>
          <w:szCs w:val="25"/>
        </w:rPr>
      </w:pPr>
    </w:p>
    <w:p w14:paraId="3F45B85A" w14:textId="4E19D416" w:rsidR="009126A8" w:rsidRPr="00A024C7" w:rsidRDefault="009126A8" w:rsidP="009126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5"/>
          <w:szCs w:val="25"/>
        </w:rPr>
      </w:pPr>
      <w:r w:rsidRPr="00A024C7">
        <w:rPr>
          <w:rFonts w:cstheme="minorHAnsi"/>
          <w:sz w:val="25"/>
          <w:szCs w:val="25"/>
        </w:rPr>
        <w:t xml:space="preserve">Whilst there is no fixed time to review an FRA if there are no changes whatsoever, </w:t>
      </w:r>
      <w:r w:rsidR="00344DE9" w:rsidRPr="00A024C7">
        <w:rPr>
          <w:rFonts w:cstheme="minorHAnsi"/>
          <w:sz w:val="25"/>
          <w:szCs w:val="25"/>
        </w:rPr>
        <w:t>i</w:t>
      </w:r>
      <w:r w:rsidRPr="00A024C7">
        <w:rPr>
          <w:rFonts w:cstheme="minorHAnsi"/>
          <w:sz w:val="25"/>
          <w:szCs w:val="25"/>
        </w:rPr>
        <w:t xml:space="preserve">t has become </w:t>
      </w:r>
      <w:r w:rsidRPr="00A024C7">
        <w:rPr>
          <w:rFonts w:cstheme="minorHAnsi"/>
          <w:b/>
          <w:color w:val="FF0000"/>
          <w:sz w:val="25"/>
          <w:szCs w:val="25"/>
        </w:rPr>
        <w:t>best practice to do this</w:t>
      </w:r>
      <w:r w:rsidRPr="00A024C7">
        <w:rPr>
          <w:rFonts w:cstheme="minorHAnsi"/>
          <w:color w:val="FF0000"/>
          <w:sz w:val="25"/>
          <w:szCs w:val="25"/>
        </w:rPr>
        <w:t xml:space="preserve"> </w:t>
      </w:r>
      <w:r w:rsidRPr="00A024C7">
        <w:rPr>
          <w:rFonts w:cstheme="minorHAnsi"/>
          <w:b/>
          <w:color w:val="FF0000"/>
          <w:sz w:val="25"/>
          <w:szCs w:val="25"/>
        </w:rPr>
        <w:t>on an annual basis</w:t>
      </w:r>
      <w:r w:rsidR="00344DE9" w:rsidRPr="00A024C7">
        <w:rPr>
          <w:rFonts w:cstheme="minorHAnsi"/>
          <w:b/>
          <w:color w:val="FF0000"/>
          <w:sz w:val="25"/>
          <w:szCs w:val="25"/>
        </w:rPr>
        <w:t xml:space="preserve">, and we </w:t>
      </w:r>
      <w:r w:rsidR="00A024C7">
        <w:rPr>
          <w:rFonts w:cstheme="minorHAnsi"/>
          <w:b/>
          <w:color w:val="FF0000"/>
          <w:sz w:val="25"/>
          <w:szCs w:val="25"/>
        </w:rPr>
        <w:t xml:space="preserve">at Suffolk County Council </w:t>
      </w:r>
      <w:bookmarkStart w:id="0" w:name="_GoBack"/>
      <w:bookmarkEnd w:id="0"/>
      <w:r w:rsidR="00344DE9" w:rsidRPr="00A024C7">
        <w:rPr>
          <w:rFonts w:cstheme="minorHAnsi"/>
          <w:b/>
          <w:color w:val="FF0000"/>
          <w:sz w:val="25"/>
          <w:szCs w:val="25"/>
        </w:rPr>
        <w:t>suggest certainly no less frequently than every eighteen months.</w:t>
      </w:r>
    </w:p>
    <w:p w14:paraId="61833677" w14:textId="77777777" w:rsidR="009126A8" w:rsidRPr="00A024C7" w:rsidRDefault="009126A8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31F20"/>
          <w:sz w:val="25"/>
          <w:szCs w:val="25"/>
        </w:rPr>
      </w:pPr>
    </w:p>
    <w:p w14:paraId="7B95A57D" w14:textId="046994EF" w:rsidR="000D1563" w:rsidRPr="00A024C7" w:rsidRDefault="000D1563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You should consider the potential risk of any significant change before it is introduced.</w:t>
      </w:r>
    </w:p>
    <w:p w14:paraId="21F0E1FB" w14:textId="35B5BFB7" w:rsidR="000D1563" w:rsidRPr="00A024C7" w:rsidRDefault="000D1563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31F20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It is usually more effective to minimise a risk by, for example, ensuring adequate,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appropriate storage space for an item before introducing it to your premises.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Do not amend your assessment for every trivial change, but if a change introduces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new hazards you should consider them and, if significant, do whatever you need to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do to keep the risks under control. In any case you should keep your assessment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under review to make sure that the precautions are still working effectively. You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may want to re-examine the fire prevention and protection measures at the same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time as your health and safety assessment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s.  </w:t>
      </w:r>
      <w:r w:rsidRPr="00A024C7">
        <w:rPr>
          <w:rFonts w:cstheme="minorHAnsi"/>
          <w:color w:val="231F20"/>
          <w:sz w:val="25"/>
          <w:szCs w:val="25"/>
        </w:rPr>
        <w:t>If a fire or ‘near miss’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occurs, this could indicate that your existing assessment may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 xml:space="preserve">be </w:t>
      </w:r>
      <w:r w:rsidR="005665FD" w:rsidRPr="00A024C7">
        <w:rPr>
          <w:rFonts w:cstheme="minorHAnsi"/>
          <w:color w:val="231F20"/>
          <w:sz w:val="25"/>
          <w:szCs w:val="25"/>
        </w:rPr>
        <w:t>inadequate,</w:t>
      </w:r>
      <w:r w:rsidRPr="00A024C7">
        <w:rPr>
          <w:rFonts w:cstheme="minorHAnsi"/>
          <w:color w:val="231F20"/>
          <w:sz w:val="25"/>
          <w:szCs w:val="25"/>
        </w:rPr>
        <w:t xml:space="preserve"> and you should carry out a re-assessment. It is good practice to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identify the cause of any incident and then review and, if necessary, revise your fire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>risk assessment in the light of this.</w:t>
      </w:r>
    </w:p>
    <w:p w14:paraId="1336275B" w14:textId="77777777" w:rsidR="009126A8" w:rsidRPr="00A024C7" w:rsidRDefault="009126A8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31F20"/>
          <w:sz w:val="25"/>
          <w:szCs w:val="25"/>
        </w:rPr>
      </w:pPr>
    </w:p>
    <w:p w14:paraId="2B6B2666" w14:textId="239B5749" w:rsidR="009126A8" w:rsidRPr="00A024C7" w:rsidRDefault="000D1563" w:rsidP="009126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5"/>
          <w:szCs w:val="25"/>
        </w:rPr>
      </w:pPr>
      <w:r w:rsidRPr="00A024C7">
        <w:rPr>
          <w:rFonts w:cstheme="minorHAnsi"/>
          <w:color w:val="231F20"/>
          <w:sz w:val="25"/>
          <w:szCs w:val="25"/>
        </w:rPr>
        <w:t>Records of testing, maintenance and training etc. are useful aids in a review</w:t>
      </w:r>
      <w:r w:rsidR="009126A8" w:rsidRPr="00A024C7">
        <w:rPr>
          <w:rFonts w:cstheme="minorHAnsi"/>
          <w:color w:val="231F20"/>
          <w:sz w:val="25"/>
          <w:szCs w:val="25"/>
        </w:rPr>
        <w:t xml:space="preserve"> </w:t>
      </w:r>
      <w:r w:rsidRPr="00A024C7">
        <w:rPr>
          <w:rFonts w:cstheme="minorHAnsi"/>
          <w:color w:val="231F20"/>
          <w:sz w:val="25"/>
          <w:szCs w:val="25"/>
        </w:rPr>
        <w:t xml:space="preserve">process. </w:t>
      </w:r>
      <w:r w:rsidR="00A024C7" w:rsidRPr="00A024C7">
        <w:rPr>
          <w:rFonts w:cstheme="minorHAnsi"/>
          <w:color w:val="231F20"/>
          <w:sz w:val="25"/>
          <w:szCs w:val="25"/>
        </w:rPr>
        <w:t xml:space="preserve">Once you have received your FRA from your competent person, the action plan MUST be carried out as per the recommended timescales. </w:t>
      </w:r>
    </w:p>
    <w:sectPr w:rsidR="009126A8" w:rsidRPr="00A024C7" w:rsidSect="009126A8">
      <w:footerReference w:type="default" r:id="rId7"/>
      <w:pgSz w:w="11906" w:h="16838"/>
      <w:pgMar w:top="709" w:right="1440" w:bottom="1135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1A71" w14:textId="77777777" w:rsidR="009126A8" w:rsidRDefault="009126A8" w:rsidP="009126A8">
      <w:pPr>
        <w:spacing w:after="0" w:line="240" w:lineRule="auto"/>
      </w:pPr>
      <w:r>
        <w:separator/>
      </w:r>
    </w:p>
  </w:endnote>
  <w:endnote w:type="continuationSeparator" w:id="0">
    <w:p w14:paraId="544CC486" w14:textId="77777777" w:rsidR="009126A8" w:rsidRDefault="009126A8" w:rsidP="0091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CF92" w14:textId="37A7B46B" w:rsidR="009126A8" w:rsidRPr="009126A8" w:rsidRDefault="009126A8" w:rsidP="009126A8">
    <w:pPr>
      <w:autoSpaceDE w:val="0"/>
      <w:autoSpaceDN w:val="0"/>
      <w:adjustRightInd w:val="0"/>
      <w:spacing w:after="0" w:line="276" w:lineRule="auto"/>
      <w:jc w:val="both"/>
      <w:rPr>
        <w:rFonts w:cstheme="minorHAnsi"/>
        <w:b/>
        <w:i/>
        <w:szCs w:val="26"/>
      </w:rPr>
    </w:pPr>
    <w:r w:rsidRPr="009126A8">
      <w:rPr>
        <w:rFonts w:cstheme="minorHAnsi"/>
        <w:b/>
        <w:i/>
        <w:szCs w:val="26"/>
      </w:rPr>
      <w:t>Source: HM Government: Fire Safety Risk Assessment: Educational Premises</w:t>
    </w:r>
    <w:r w:rsidR="00306AF8">
      <w:rPr>
        <w:rFonts w:cstheme="minorHAnsi"/>
        <w:b/>
        <w:i/>
        <w:szCs w:val="26"/>
      </w:rPr>
      <w:t xml:space="preserve"> </w:t>
    </w:r>
    <w:r w:rsidR="00306AF8">
      <w:rPr>
        <w:rFonts w:cstheme="minorHAnsi"/>
        <w:b/>
        <w:i/>
        <w:szCs w:val="26"/>
      </w:rPr>
      <w:tab/>
      <w:t>AKHB Feb18 v1.0</w:t>
    </w:r>
  </w:p>
  <w:p w14:paraId="5C344C6F" w14:textId="6A37BDB3" w:rsidR="009126A8" w:rsidRDefault="009126A8">
    <w:pPr>
      <w:pStyle w:val="Footer"/>
    </w:pPr>
  </w:p>
  <w:p w14:paraId="497E57FC" w14:textId="77777777" w:rsidR="009126A8" w:rsidRDefault="0091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491B" w14:textId="77777777" w:rsidR="009126A8" w:rsidRDefault="009126A8" w:rsidP="009126A8">
      <w:pPr>
        <w:spacing w:after="0" w:line="240" w:lineRule="auto"/>
      </w:pPr>
      <w:r>
        <w:separator/>
      </w:r>
    </w:p>
  </w:footnote>
  <w:footnote w:type="continuationSeparator" w:id="0">
    <w:p w14:paraId="13A6C321" w14:textId="77777777" w:rsidR="009126A8" w:rsidRDefault="009126A8" w:rsidP="0091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0A33"/>
    <w:multiLevelType w:val="hybridMultilevel"/>
    <w:tmpl w:val="E366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6542"/>
    <w:multiLevelType w:val="hybridMultilevel"/>
    <w:tmpl w:val="2F760F74"/>
    <w:lvl w:ilvl="0" w:tplc="7850F8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63"/>
    <w:rsid w:val="000D1563"/>
    <w:rsid w:val="00306AF8"/>
    <w:rsid w:val="00344DE9"/>
    <w:rsid w:val="005665FD"/>
    <w:rsid w:val="00576AD7"/>
    <w:rsid w:val="006E227C"/>
    <w:rsid w:val="008A3A60"/>
    <w:rsid w:val="009126A8"/>
    <w:rsid w:val="00A024C7"/>
    <w:rsid w:val="00A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4627A"/>
  <w15:chartTrackingRefBased/>
  <w15:docId w15:val="{93C62223-8B1E-4B16-9B43-C09D5D5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A8"/>
  </w:style>
  <w:style w:type="paragraph" w:styleId="Footer">
    <w:name w:val="footer"/>
    <w:basedOn w:val="Normal"/>
    <w:link w:val="FooterChar"/>
    <w:uiPriority w:val="99"/>
    <w:unhideWhenUsed/>
    <w:rsid w:val="00912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A8"/>
  </w:style>
  <w:style w:type="paragraph" w:styleId="BalloonText">
    <w:name w:val="Balloon Text"/>
    <w:basedOn w:val="Normal"/>
    <w:link w:val="BalloonTextChar"/>
    <w:uiPriority w:val="99"/>
    <w:semiHidden/>
    <w:unhideWhenUsed/>
    <w:rsid w:val="0057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6</cp:revision>
  <dcterms:created xsi:type="dcterms:W3CDTF">2018-03-02T15:20:00Z</dcterms:created>
  <dcterms:modified xsi:type="dcterms:W3CDTF">2018-03-16T09:01:00Z</dcterms:modified>
</cp:coreProperties>
</file>