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84" w:rsidRPr="00D12484" w:rsidRDefault="00D12484">
      <w:pPr>
        <w:rPr>
          <w:rFonts w:ascii="Arial" w:hAnsi="Arial" w:cs="Arial"/>
          <w:b/>
          <w:color w:val="232323"/>
          <w:sz w:val="28"/>
          <w:szCs w:val="28"/>
          <w:u w:val="single"/>
        </w:rPr>
      </w:pPr>
      <w:bookmarkStart w:id="0" w:name="_GoBack"/>
      <w:r w:rsidRPr="00D12484">
        <w:rPr>
          <w:rFonts w:ascii="Arial" w:hAnsi="Arial" w:cs="Arial"/>
          <w:b/>
          <w:color w:val="232323"/>
          <w:sz w:val="28"/>
          <w:szCs w:val="28"/>
          <w:u w:val="single"/>
        </w:rPr>
        <w:t>Message from SCC Internal Audit</w:t>
      </w:r>
      <w:r>
        <w:rPr>
          <w:rFonts w:ascii="Arial" w:hAnsi="Arial" w:cs="Arial"/>
          <w:b/>
          <w:color w:val="232323"/>
          <w:sz w:val="28"/>
          <w:szCs w:val="28"/>
          <w:u w:val="single"/>
        </w:rPr>
        <w:t xml:space="preserve"> – February 2017</w:t>
      </w:r>
    </w:p>
    <w:bookmarkEnd w:id="0"/>
    <w:tbl>
      <w:tblPr>
        <w:tblW w:w="9000" w:type="dxa"/>
        <w:jc w:val="center"/>
        <w:tblCellMar>
          <w:left w:w="0" w:type="dxa"/>
          <w:right w:w="0" w:type="dxa"/>
        </w:tblCellMar>
        <w:tblLook w:val="04A0" w:firstRow="1" w:lastRow="0" w:firstColumn="1" w:lastColumn="0" w:noHBand="0" w:noVBand="1"/>
      </w:tblPr>
      <w:tblGrid>
        <w:gridCol w:w="9000"/>
      </w:tblGrid>
      <w:tr w:rsidR="00D12484" w:rsidTr="00D12484">
        <w:trPr>
          <w:jc w:val="center"/>
        </w:trPr>
        <w:tc>
          <w:tcPr>
            <w:tcW w:w="9000" w:type="dxa"/>
            <w:shd w:val="clear" w:color="auto" w:fill="FFFFFF"/>
            <w:tcMar>
              <w:top w:w="150" w:type="dxa"/>
              <w:left w:w="300" w:type="dxa"/>
              <w:bottom w:w="0" w:type="dxa"/>
              <w:right w:w="300" w:type="dxa"/>
            </w:tcMar>
            <w:hideMark/>
          </w:tcPr>
          <w:p w:rsidR="00D12484" w:rsidRDefault="00D12484"/>
          <w:tbl>
            <w:tblPr>
              <w:tblW w:w="5000" w:type="pct"/>
              <w:tblLook w:val="04A0" w:firstRow="1" w:lastRow="0" w:firstColumn="1" w:lastColumn="0" w:noHBand="0" w:noVBand="1"/>
            </w:tblPr>
            <w:tblGrid>
              <w:gridCol w:w="8400"/>
            </w:tblGrid>
            <w:tr w:rsidR="00D12484">
              <w:tc>
                <w:tcPr>
                  <w:tcW w:w="0" w:type="auto"/>
                  <w:tcMar>
                    <w:top w:w="15" w:type="dxa"/>
                    <w:left w:w="15" w:type="dxa"/>
                    <w:bottom w:w="15" w:type="dxa"/>
                    <w:right w:w="15" w:type="dxa"/>
                  </w:tcMar>
                  <w:hideMark/>
                </w:tcPr>
                <w:p w:rsidR="00D12484" w:rsidRDefault="00D12484">
                  <w:pPr>
                    <w:pStyle w:val="gdp"/>
                    <w:spacing w:before="0" w:beforeAutospacing="0" w:after="195" w:afterAutospacing="0"/>
                    <w:rPr>
                      <w:rFonts w:ascii="Arial" w:hAnsi="Arial" w:cs="Arial"/>
                      <w:color w:val="232323"/>
                      <w:sz w:val="20"/>
                      <w:szCs w:val="20"/>
                    </w:rPr>
                  </w:pPr>
                  <w:r>
                    <w:rPr>
                      <w:noProof/>
                    </w:rPr>
                    <w:drawing>
                      <wp:anchor distT="0" distB="0" distL="66675" distR="66675" simplePos="0" relativeHeight="251659264" behindDoc="0" locked="0" layoutInCell="1" allowOverlap="0" wp14:anchorId="2424C502" wp14:editId="31A6AB47">
                        <wp:simplePos x="0" y="0"/>
                        <wp:positionH relativeFrom="column">
                          <wp:align>left</wp:align>
                        </wp:positionH>
                        <wp:positionV relativeFrom="line">
                          <wp:posOffset>0</wp:posOffset>
                        </wp:positionV>
                        <wp:extent cx="695325" cy="1019175"/>
                        <wp:effectExtent l="0" t="0" r="9525" b="9525"/>
                        <wp:wrapSquare wrapText="bothSides"/>
                        <wp:docPr id="6" name="Picture 6" descr="P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2323"/>
                      <w:sz w:val="20"/>
                      <w:szCs w:val="20"/>
                    </w:rPr>
                    <w:t>At a time when every penny should be invested in delivering high quality services to local people, tackling fraud head on is a priority.  It is deeply unfair to allow opportunist fraudsters and/or organised criminals to steal money that should be used for front line services. Therefore, it is our responsibility that strong controls and processes are maintained.</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color w:val="232323"/>
                      <w:sz w:val="20"/>
                      <w:szCs w:val="20"/>
                    </w:rPr>
                    <w:t>This ‘focus on fraud’ special highlights some areas for us to be aware of, the controls to consider to reduce the risk of fraud or error, and reminds us of the fraud related policies and procedures that we have in place.   </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color w:val="232323"/>
                      <w:sz w:val="20"/>
                      <w:szCs w:val="20"/>
                    </w:rPr>
                    <w:t>I would like to take this opportunity to remind colleagues that we have a zero tolerance of fraud, and that we will investigate any suspected fraudulent activity and take action through both the disciplinary and criminal routes.</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color w:val="232323"/>
                      <w:sz w:val="20"/>
                      <w:szCs w:val="20"/>
                    </w:rPr>
                    <w:t>Remember, we are all responsible for preventing fraud.</w:t>
                  </w:r>
                </w:p>
              </w:tc>
            </w:tr>
            <w:tr w:rsidR="00D12484">
              <w:tc>
                <w:tcPr>
                  <w:tcW w:w="0" w:type="auto"/>
                  <w:tcMar>
                    <w:top w:w="15" w:type="dxa"/>
                    <w:left w:w="15" w:type="dxa"/>
                    <w:bottom w:w="15" w:type="dxa"/>
                    <w:right w:w="15" w:type="dxa"/>
                  </w:tcMar>
                </w:tcPr>
                <w:p w:rsidR="00D12484" w:rsidRDefault="00D12484">
                  <w:pPr>
                    <w:pStyle w:val="gdp"/>
                    <w:spacing w:before="0" w:beforeAutospacing="0" w:after="195" w:afterAutospacing="0"/>
                    <w:rPr>
                      <w:noProof/>
                    </w:rPr>
                  </w:pPr>
                </w:p>
              </w:tc>
            </w:tr>
            <w:tr w:rsidR="00D12484">
              <w:tc>
                <w:tcPr>
                  <w:tcW w:w="0" w:type="auto"/>
                  <w:tcMar>
                    <w:top w:w="15" w:type="dxa"/>
                    <w:left w:w="15" w:type="dxa"/>
                    <w:bottom w:w="15" w:type="dxa"/>
                    <w:right w:w="15" w:type="dxa"/>
                  </w:tcMar>
                </w:tcPr>
                <w:p w:rsidR="00D12484" w:rsidRDefault="00D12484">
                  <w:pPr>
                    <w:pStyle w:val="gdp"/>
                    <w:spacing w:before="0" w:beforeAutospacing="0" w:after="195" w:afterAutospacing="0"/>
                    <w:rPr>
                      <w:noProof/>
                    </w:rPr>
                  </w:pPr>
                </w:p>
              </w:tc>
            </w:tr>
          </w:tbl>
          <w:p w:rsidR="00D12484" w:rsidRDefault="00D12484">
            <w:pPr>
              <w:rPr>
                <w:rFonts w:eastAsia="Times New Roman"/>
              </w:rPr>
            </w:pPr>
            <w:r>
              <w:rPr>
                <w:rFonts w:eastAsia="Times New Roman"/>
                <w:noProof/>
              </w:rPr>
              <w:drawing>
                <wp:inline distT="0" distB="0" distL="0" distR="0" wp14:anchorId="62059C8E" wp14:editId="0C53E4A8">
                  <wp:extent cx="1076325" cy="742950"/>
                  <wp:effectExtent l="0" t="0" r="9525"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742950"/>
                          </a:xfrm>
                          <a:prstGeom prst="rect">
                            <a:avLst/>
                          </a:prstGeom>
                          <a:noFill/>
                          <a:ln>
                            <a:noFill/>
                          </a:ln>
                        </pic:spPr>
                      </pic:pic>
                    </a:graphicData>
                  </a:graphic>
                </wp:inline>
              </w:drawing>
            </w:r>
          </w:p>
          <w:p w:rsidR="00D12484" w:rsidRDefault="00D12484">
            <w:pPr>
              <w:pStyle w:val="gdp"/>
              <w:spacing w:before="0" w:beforeAutospacing="0" w:after="195" w:afterAutospacing="0"/>
              <w:rPr>
                <w:rFonts w:ascii="Arial" w:hAnsi="Arial" w:cs="Arial"/>
                <w:color w:val="232323"/>
                <w:sz w:val="20"/>
                <w:szCs w:val="20"/>
              </w:rPr>
            </w:pPr>
            <w:r>
              <w:rPr>
                <w:rFonts w:ascii="Arial" w:hAnsi="Arial" w:cs="Arial"/>
                <w:color w:val="232323"/>
                <w:sz w:val="20"/>
                <w:szCs w:val="20"/>
              </w:rPr>
              <w:t>Peter Frost Head of Audit Services</w:t>
            </w:r>
          </w:p>
          <w:p w:rsidR="00D12484" w:rsidRDefault="00D12484">
            <w:pPr>
              <w:jc w:val="center"/>
              <w:rPr>
                <w:rFonts w:eastAsia="Times New Roman"/>
              </w:rPr>
            </w:pPr>
            <w:r>
              <w:rPr>
                <w:rFonts w:eastAsia="Times New Roman"/>
              </w:rPr>
              <w:pict>
                <v:rect id="_x0000_i1026" style="width:451.3pt;height:1.5pt" o:hralign="center" o:hrstd="t" o:hr="t" fillcolor="#a0a0a0" stroked="f"/>
              </w:pict>
            </w:r>
          </w:p>
          <w:p w:rsidR="00D12484" w:rsidRDefault="00D1248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The Cost of Fraud</w:t>
            </w:r>
          </w:p>
          <w:tbl>
            <w:tblPr>
              <w:tblW w:w="5000" w:type="pct"/>
              <w:tblLook w:val="04A0" w:firstRow="1" w:lastRow="0" w:firstColumn="1" w:lastColumn="0" w:noHBand="0" w:noVBand="1"/>
            </w:tblPr>
            <w:tblGrid>
              <w:gridCol w:w="8400"/>
            </w:tblGrid>
            <w:tr w:rsidR="00D12484">
              <w:tc>
                <w:tcPr>
                  <w:tcW w:w="0" w:type="auto"/>
                  <w:tcMar>
                    <w:top w:w="15" w:type="dxa"/>
                    <w:left w:w="15" w:type="dxa"/>
                    <w:bottom w:w="15" w:type="dxa"/>
                    <w:right w:w="15" w:type="dxa"/>
                  </w:tcMar>
                  <w:hideMark/>
                </w:tcPr>
                <w:p w:rsidR="00D12484" w:rsidRDefault="00D12484">
                  <w:pPr>
                    <w:pStyle w:val="gdp"/>
                    <w:spacing w:before="0" w:beforeAutospacing="0" w:after="195" w:afterAutospacing="0"/>
                    <w:rPr>
                      <w:rFonts w:ascii="Arial" w:hAnsi="Arial" w:cs="Arial"/>
                      <w:color w:val="232323"/>
                      <w:sz w:val="20"/>
                      <w:szCs w:val="20"/>
                    </w:rPr>
                  </w:pPr>
                  <w:r>
                    <w:rPr>
                      <w:noProof/>
                    </w:rPr>
                    <w:drawing>
                      <wp:anchor distT="0" distB="0" distL="66675" distR="66675" simplePos="0" relativeHeight="251660288" behindDoc="0" locked="0" layoutInCell="1" allowOverlap="0" wp14:anchorId="0977B82F" wp14:editId="50E18A90">
                        <wp:simplePos x="0" y="0"/>
                        <wp:positionH relativeFrom="column">
                          <wp:align>left</wp:align>
                        </wp:positionH>
                        <wp:positionV relativeFrom="line">
                          <wp:posOffset>0</wp:posOffset>
                        </wp:positionV>
                        <wp:extent cx="1704975" cy="1133475"/>
                        <wp:effectExtent l="0" t="0" r="9525" b="9525"/>
                        <wp:wrapSquare wrapText="bothSides"/>
                        <wp:docPr id="5" name="Picture 5"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232323"/>
                      <w:sz w:val="20"/>
                      <w:szCs w:val="20"/>
                    </w:rPr>
                    <w:t>The risk of fraud is increasing.  </w:t>
                  </w:r>
                  <w:r>
                    <w:rPr>
                      <w:rFonts w:ascii="Arial" w:hAnsi="Arial" w:cs="Arial"/>
                      <w:color w:val="232323"/>
                      <w:sz w:val="20"/>
                      <w:szCs w:val="20"/>
                    </w:rPr>
                    <w:t>Fraud skills and threats are constantly changing and becoming more sophisticated.  You are one of the most effective deterrents against fraud, which is vital to the protection of the public purse.</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color w:val="232323"/>
                      <w:sz w:val="20"/>
                      <w:szCs w:val="20"/>
                    </w:rPr>
                    <w:t>The Chartered Institute of Public Finance and Accountancy estimates approximately £325 million worth of fraud was detected or prevented within the public sector in 2015/16. The type of fraud (and some examples) associated with County Councils are:  </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Social Care Fraud</w:t>
                  </w:r>
                </w:p>
                <w:p w:rsidR="00D12484" w:rsidRDefault="00D12484">
                  <w:pPr>
                    <w:numPr>
                      <w:ilvl w:val="0"/>
                      <w:numId w:val="1"/>
                    </w:numPr>
                    <w:rPr>
                      <w:rFonts w:ascii="Arial" w:eastAsia="Times New Roman" w:hAnsi="Arial" w:cs="Arial"/>
                      <w:color w:val="232323"/>
                      <w:sz w:val="20"/>
                      <w:szCs w:val="20"/>
                    </w:rPr>
                  </w:pPr>
                  <w:r>
                    <w:rPr>
                      <w:rFonts w:ascii="Arial" w:eastAsia="Times New Roman" w:hAnsi="Arial" w:cs="Arial"/>
                      <w:color w:val="232323"/>
                      <w:sz w:val="20"/>
                      <w:szCs w:val="20"/>
                    </w:rPr>
                    <w:t>Failure to declare income/capital</w:t>
                  </w:r>
                </w:p>
                <w:p w:rsidR="00D12484" w:rsidRDefault="00D12484">
                  <w:pPr>
                    <w:numPr>
                      <w:ilvl w:val="0"/>
                      <w:numId w:val="1"/>
                    </w:numPr>
                    <w:rPr>
                      <w:rFonts w:ascii="Arial" w:eastAsia="Times New Roman" w:hAnsi="Arial" w:cs="Arial"/>
                      <w:color w:val="232323"/>
                      <w:sz w:val="20"/>
                      <w:szCs w:val="20"/>
                    </w:rPr>
                  </w:pPr>
                  <w:r>
                    <w:rPr>
                      <w:rFonts w:ascii="Arial" w:eastAsia="Times New Roman" w:hAnsi="Arial" w:cs="Arial"/>
                      <w:color w:val="232323"/>
                      <w:sz w:val="20"/>
                      <w:szCs w:val="20"/>
                    </w:rPr>
                    <w:t>Inappropriate use of the funds for the means they were allocated</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No recourse to public funds </w:t>
                  </w:r>
                  <w:r>
                    <w:rPr>
                      <w:rFonts w:ascii="Arial" w:hAnsi="Arial" w:cs="Arial"/>
                      <w:color w:val="232323"/>
                      <w:sz w:val="20"/>
                      <w:szCs w:val="20"/>
                    </w:rPr>
                    <w:t>(People from abroad who are subject to specific immigration controls which prevent them from gaining access to benefits of public housing) - </w:t>
                  </w:r>
                </w:p>
                <w:p w:rsidR="00D12484" w:rsidRDefault="00D12484">
                  <w:pPr>
                    <w:numPr>
                      <w:ilvl w:val="0"/>
                      <w:numId w:val="2"/>
                    </w:numPr>
                    <w:rPr>
                      <w:rFonts w:ascii="Arial" w:eastAsia="Times New Roman" w:hAnsi="Arial" w:cs="Arial"/>
                      <w:color w:val="232323"/>
                      <w:sz w:val="20"/>
                      <w:szCs w:val="20"/>
                    </w:rPr>
                  </w:pPr>
                  <w:r>
                    <w:rPr>
                      <w:rFonts w:ascii="Arial" w:eastAsia="Times New Roman" w:hAnsi="Arial" w:cs="Arial"/>
                      <w:color w:val="232323"/>
                      <w:sz w:val="20"/>
                      <w:szCs w:val="20"/>
                    </w:rPr>
                    <w:t>False representation of immigration status</w:t>
                  </w:r>
                </w:p>
                <w:p w:rsidR="00D12484" w:rsidRDefault="00D12484">
                  <w:pPr>
                    <w:numPr>
                      <w:ilvl w:val="0"/>
                      <w:numId w:val="2"/>
                    </w:numPr>
                    <w:rPr>
                      <w:rFonts w:ascii="Arial" w:eastAsia="Times New Roman" w:hAnsi="Arial" w:cs="Arial"/>
                      <w:color w:val="232323"/>
                      <w:sz w:val="20"/>
                      <w:szCs w:val="20"/>
                    </w:rPr>
                  </w:pPr>
                  <w:r>
                    <w:rPr>
                      <w:rFonts w:ascii="Arial" w:eastAsia="Times New Roman" w:hAnsi="Arial" w:cs="Arial"/>
                      <w:color w:val="232323"/>
                      <w:sz w:val="20"/>
                      <w:szCs w:val="20"/>
                    </w:rPr>
                    <w:t>Claiming from more than one authority</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Procurement</w:t>
                  </w:r>
                </w:p>
                <w:p w:rsidR="00D12484" w:rsidRDefault="00D12484">
                  <w:pPr>
                    <w:numPr>
                      <w:ilvl w:val="0"/>
                      <w:numId w:val="3"/>
                    </w:numPr>
                    <w:rPr>
                      <w:rFonts w:ascii="Arial" w:eastAsia="Times New Roman" w:hAnsi="Arial" w:cs="Arial"/>
                      <w:color w:val="232323"/>
                      <w:sz w:val="20"/>
                      <w:szCs w:val="20"/>
                    </w:rPr>
                  </w:pPr>
                  <w:r>
                    <w:rPr>
                      <w:rFonts w:ascii="Arial" w:eastAsia="Times New Roman" w:hAnsi="Arial" w:cs="Arial"/>
                      <w:color w:val="232323"/>
                      <w:sz w:val="20"/>
                      <w:szCs w:val="20"/>
                    </w:rPr>
                    <w:t>False, inflated or duplicate invoices  </w:t>
                  </w:r>
                </w:p>
                <w:p w:rsidR="00D12484" w:rsidRDefault="00D12484">
                  <w:pPr>
                    <w:numPr>
                      <w:ilvl w:val="0"/>
                      <w:numId w:val="3"/>
                    </w:numPr>
                    <w:rPr>
                      <w:rFonts w:ascii="Arial" w:eastAsia="Times New Roman" w:hAnsi="Arial" w:cs="Arial"/>
                      <w:color w:val="232323"/>
                      <w:sz w:val="20"/>
                      <w:szCs w:val="20"/>
                    </w:rPr>
                  </w:pPr>
                  <w:r>
                    <w:rPr>
                      <w:rFonts w:ascii="Arial" w:eastAsia="Times New Roman" w:hAnsi="Arial" w:cs="Arial"/>
                      <w:color w:val="232323"/>
                      <w:sz w:val="20"/>
                      <w:szCs w:val="20"/>
                    </w:rPr>
                    <w:t>Bias, bribery or corruption in the award of contracts</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Insurance</w:t>
                  </w:r>
                </w:p>
                <w:p w:rsidR="00D12484" w:rsidRDefault="00D12484">
                  <w:pPr>
                    <w:numPr>
                      <w:ilvl w:val="0"/>
                      <w:numId w:val="4"/>
                    </w:numPr>
                    <w:rPr>
                      <w:rFonts w:ascii="Arial" w:eastAsia="Times New Roman" w:hAnsi="Arial" w:cs="Arial"/>
                      <w:color w:val="232323"/>
                      <w:sz w:val="20"/>
                      <w:szCs w:val="20"/>
                    </w:rPr>
                  </w:pPr>
                  <w:r>
                    <w:rPr>
                      <w:rFonts w:ascii="Arial" w:eastAsia="Times New Roman" w:hAnsi="Arial" w:cs="Arial"/>
                      <w:color w:val="232323"/>
                      <w:sz w:val="20"/>
                      <w:szCs w:val="20"/>
                    </w:rPr>
                    <w:lastRenderedPageBreak/>
                    <w:t>False, inflated or duplicate claims</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Grants</w:t>
                  </w:r>
                </w:p>
                <w:p w:rsidR="00D12484" w:rsidRDefault="00D12484">
                  <w:pPr>
                    <w:numPr>
                      <w:ilvl w:val="0"/>
                      <w:numId w:val="5"/>
                    </w:numPr>
                    <w:rPr>
                      <w:rFonts w:ascii="Arial" w:eastAsia="Times New Roman" w:hAnsi="Arial" w:cs="Arial"/>
                      <w:color w:val="232323"/>
                      <w:sz w:val="20"/>
                      <w:szCs w:val="20"/>
                    </w:rPr>
                  </w:pPr>
                  <w:r>
                    <w:rPr>
                      <w:rFonts w:ascii="Arial" w:eastAsia="Times New Roman" w:hAnsi="Arial" w:cs="Arial"/>
                      <w:color w:val="232323"/>
                      <w:sz w:val="20"/>
                      <w:szCs w:val="20"/>
                    </w:rPr>
                    <w:t>False applications</w:t>
                  </w:r>
                </w:p>
                <w:p w:rsidR="00D12484" w:rsidRDefault="00D12484">
                  <w:pPr>
                    <w:numPr>
                      <w:ilvl w:val="0"/>
                      <w:numId w:val="5"/>
                    </w:numPr>
                    <w:rPr>
                      <w:rFonts w:ascii="Arial" w:eastAsia="Times New Roman" w:hAnsi="Arial" w:cs="Arial"/>
                      <w:color w:val="232323"/>
                      <w:sz w:val="20"/>
                      <w:szCs w:val="20"/>
                    </w:rPr>
                  </w:pPr>
                  <w:r>
                    <w:rPr>
                      <w:rFonts w:ascii="Arial" w:eastAsia="Times New Roman" w:hAnsi="Arial" w:cs="Arial"/>
                      <w:color w:val="232323"/>
                      <w:sz w:val="20"/>
                      <w:szCs w:val="20"/>
                    </w:rPr>
                    <w:t>Inappropriate use of funds or abuse of the grant application</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Pensions</w:t>
                  </w:r>
                </w:p>
                <w:p w:rsidR="00D12484" w:rsidRDefault="00D12484">
                  <w:pPr>
                    <w:numPr>
                      <w:ilvl w:val="0"/>
                      <w:numId w:val="6"/>
                    </w:numPr>
                    <w:rPr>
                      <w:rFonts w:ascii="Arial" w:eastAsia="Times New Roman" w:hAnsi="Arial" w:cs="Arial"/>
                      <w:color w:val="232323"/>
                      <w:sz w:val="20"/>
                      <w:szCs w:val="20"/>
                    </w:rPr>
                  </w:pPr>
                  <w:r>
                    <w:rPr>
                      <w:rFonts w:ascii="Arial" w:eastAsia="Times New Roman" w:hAnsi="Arial" w:cs="Arial"/>
                      <w:color w:val="232323"/>
                      <w:sz w:val="20"/>
                      <w:szCs w:val="20"/>
                    </w:rPr>
                    <w:t>Failure to report a death </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Payroll</w:t>
                  </w:r>
                </w:p>
                <w:p w:rsidR="00D12484" w:rsidRDefault="00D12484">
                  <w:pPr>
                    <w:numPr>
                      <w:ilvl w:val="0"/>
                      <w:numId w:val="7"/>
                    </w:numPr>
                    <w:rPr>
                      <w:rFonts w:ascii="Arial" w:eastAsia="Times New Roman" w:hAnsi="Arial" w:cs="Arial"/>
                      <w:color w:val="232323"/>
                      <w:sz w:val="20"/>
                      <w:szCs w:val="20"/>
                    </w:rPr>
                  </w:pPr>
                  <w:r>
                    <w:rPr>
                      <w:rFonts w:ascii="Arial" w:eastAsia="Times New Roman" w:hAnsi="Arial" w:cs="Arial"/>
                      <w:color w:val="232323"/>
                      <w:sz w:val="20"/>
                      <w:szCs w:val="20"/>
                    </w:rPr>
                    <w:t>False claims, ghost employees</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b/>
                      <w:bCs/>
                      <w:color w:val="232323"/>
                      <w:sz w:val="20"/>
                      <w:szCs w:val="20"/>
                    </w:rPr>
                    <w:t>Recruitment</w:t>
                  </w:r>
                </w:p>
                <w:p w:rsidR="00D12484" w:rsidRDefault="00D12484">
                  <w:pPr>
                    <w:numPr>
                      <w:ilvl w:val="0"/>
                      <w:numId w:val="8"/>
                    </w:numPr>
                    <w:rPr>
                      <w:rFonts w:ascii="Arial" w:eastAsia="Times New Roman" w:hAnsi="Arial" w:cs="Arial"/>
                      <w:color w:val="232323"/>
                      <w:sz w:val="20"/>
                      <w:szCs w:val="20"/>
                    </w:rPr>
                  </w:pPr>
                  <w:r>
                    <w:rPr>
                      <w:rFonts w:ascii="Arial" w:eastAsia="Times New Roman" w:hAnsi="Arial" w:cs="Arial"/>
                      <w:color w:val="232323"/>
                      <w:sz w:val="20"/>
                      <w:szCs w:val="20"/>
                    </w:rPr>
                    <w:t>Deception through falsifying application forms</w:t>
                  </w:r>
                </w:p>
              </w:tc>
            </w:tr>
          </w:tbl>
          <w:p w:rsidR="00D12484" w:rsidRDefault="00D12484">
            <w:pPr>
              <w:jc w:val="center"/>
              <w:rPr>
                <w:rFonts w:eastAsia="Times New Roman"/>
              </w:rPr>
            </w:pPr>
            <w:r>
              <w:rPr>
                <w:rFonts w:eastAsia="Times New Roman"/>
              </w:rPr>
              <w:lastRenderedPageBreak/>
              <w:pict>
                <v:rect id="_x0000_i1027" style="width:451.3pt;height:1.5pt" o:hralign="center" o:hrstd="t" o:hr="t" fillcolor="#a0a0a0" stroked="f"/>
              </w:pict>
            </w:r>
          </w:p>
          <w:p w:rsidR="00D12484" w:rsidRDefault="00D1248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Our Fraud Policies and Procedures</w:t>
            </w:r>
          </w:p>
          <w:p w:rsidR="00D12484" w:rsidRDefault="00D12484">
            <w:pPr>
              <w:pStyle w:val="gdp"/>
              <w:spacing w:before="0" w:beforeAutospacing="0" w:after="195" w:afterAutospacing="0"/>
              <w:rPr>
                <w:rFonts w:ascii="Arial" w:hAnsi="Arial" w:cs="Arial"/>
                <w:color w:val="232323"/>
                <w:sz w:val="20"/>
                <w:szCs w:val="20"/>
              </w:rPr>
            </w:pPr>
            <w:r>
              <w:rPr>
                <w:rFonts w:ascii="Arial" w:hAnsi="Arial" w:cs="Arial"/>
                <w:color w:val="232323"/>
                <w:sz w:val="20"/>
                <w:szCs w:val="20"/>
              </w:rPr>
              <w:t>We have several fraud related policies and procedures in place to protect the public purse against fraud and corruption:  </w:t>
            </w:r>
          </w:p>
          <w:p w:rsidR="00D12484" w:rsidRDefault="00D12484">
            <w:pPr>
              <w:numPr>
                <w:ilvl w:val="0"/>
                <w:numId w:val="9"/>
              </w:numPr>
              <w:rPr>
                <w:rFonts w:ascii="Arial" w:eastAsia="Times New Roman" w:hAnsi="Arial" w:cs="Arial"/>
                <w:color w:val="232323"/>
                <w:sz w:val="20"/>
                <w:szCs w:val="20"/>
              </w:rPr>
            </w:pPr>
            <w:r>
              <w:rPr>
                <w:rFonts w:ascii="Arial" w:eastAsia="Times New Roman" w:hAnsi="Arial" w:cs="Arial"/>
                <w:color w:val="232323"/>
                <w:sz w:val="20"/>
                <w:szCs w:val="20"/>
              </w:rPr>
              <w:t>Anti-Fraud and Corruption Strategy</w:t>
            </w:r>
          </w:p>
          <w:p w:rsidR="00D12484" w:rsidRDefault="00D12484">
            <w:pPr>
              <w:numPr>
                <w:ilvl w:val="0"/>
                <w:numId w:val="9"/>
              </w:numPr>
              <w:rPr>
                <w:rFonts w:ascii="Arial" w:eastAsia="Times New Roman" w:hAnsi="Arial" w:cs="Arial"/>
                <w:color w:val="232323"/>
                <w:sz w:val="20"/>
                <w:szCs w:val="20"/>
              </w:rPr>
            </w:pPr>
            <w:r>
              <w:rPr>
                <w:rFonts w:ascii="Arial" w:eastAsia="Times New Roman" w:hAnsi="Arial" w:cs="Arial"/>
                <w:color w:val="232323"/>
                <w:sz w:val="20"/>
                <w:szCs w:val="20"/>
              </w:rPr>
              <w:t>Fraud Response Plan</w:t>
            </w:r>
          </w:p>
          <w:p w:rsidR="00D12484" w:rsidRDefault="00D12484">
            <w:pPr>
              <w:numPr>
                <w:ilvl w:val="0"/>
                <w:numId w:val="9"/>
              </w:numPr>
              <w:rPr>
                <w:rFonts w:ascii="Arial" w:eastAsia="Times New Roman" w:hAnsi="Arial" w:cs="Arial"/>
                <w:color w:val="232323"/>
                <w:sz w:val="20"/>
                <w:szCs w:val="20"/>
              </w:rPr>
            </w:pPr>
            <w:r>
              <w:rPr>
                <w:rFonts w:ascii="Arial" w:eastAsia="Times New Roman" w:hAnsi="Arial" w:cs="Arial"/>
                <w:color w:val="232323"/>
                <w:sz w:val="20"/>
                <w:szCs w:val="20"/>
              </w:rPr>
              <w:t>Anti-Bribery Policy and Procedures</w:t>
            </w:r>
          </w:p>
          <w:p w:rsidR="00D12484" w:rsidRDefault="00D12484">
            <w:pPr>
              <w:numPr>
                <w:ilvl w:val="0"/>
                <w:numId w:val="9"/>
              </w:numPr>
              <w:rPr>
                <w:rFonts w:ascii="Arial" w:eastAsia="Times New Roman" w:hAnsi="Arial" w:cs="Arial"/>
                <w:color w:val="232323"/>
                <w:sz w:val="20"/>
                <w:szCs w:val="20"/>
              </w:rPr>
            </w:pPr>
            <w:r>
              <w:rPr>
                <w:rFonts w:ascii="Arial" w:eastAsia="Times New Roman" w:hAnsi="Arial" w:cs="Arial"/>
                <w:color w:val="232323"/>
                <w:sz w:val="20"/>
                <w:szCs w:val="20"/>
              </w:rPr>
              <w:t>Anti-Money Laundering Policy and Guidance</w:t>
            </w:r>
          </w:p>
          <w:p w:rsidR="00D12484" w:rsidRDefault="00D12484">
            <w:pPr>
              <w:numPr>
                <w:ilvl w:val="0"/>
                <w:numId w:val="9"/>
              </w:numPr>
              <w:rPr>
                <w:rFonts w:ascii="Arial" w:eastAsia="Times New Roman" w:hAnsi="Arial" w:cs="Arial"/>
                <w:color w:val="232323"/>
                <w:sz w:val="20"/>
                <w:szCs w:val="20"/>
              </w:rPr>
            </w:pPr>
            <w:r>
              <w:rPr>
                <w:rFonts w:ascii="Arial" w:eastAsia="Times New Roman" w:hAnsi="Arial" w:cs="Arial"/>
                <w:color w:val="232323"/>
                <w:sz w:val="20"/>
                <w:szCs w:val="20"/>
              </w:rPr>
              <w:t>Code of Conduct</w:t>
            </w:r>
          </w:p>
          <w:p w:rsidR="00D12484" w:rsidRDefault="00D12484">
            <w:pPr>
              <w:numPr>
                <w:ilvl w:val="0"/>
                <w:numId w:val="9"/>
              </w:numPr>
              <w:rPr>
                <w:rFonts w:ascii="Arial" w:eastAsia="Times New Roman" w:hAnsi="Arial" w:cs="Arial"/>
                <w:color w:val="232323"/>
                <w:sz w:val="20"/>
                <w:szCs w:val="20"/>
              </w:rPr>
            </w:pPr>
            <w:r>
              <w:rPr>
                <w:rFonts w:ascii="Arial" w:eastAsia="Times New Roman" w:hAnsi="Arial" w:cs="Arial"/>
                <w:color w:val="232323"/>
                <w:sz w:val="20"/>
                <w:szCs w:val="20"/>
              </w:rPr>
              <w:t>Whistleblowing Policy</w:t>
            </w:r>
          </w:p>
          <w:p w:rsidR="00D12484" w:rsidRDefault="00D12484">
            <w:pPr>
              <w:pStyle w:val="gdp"/>
              <w:spacing w:before="195" w:beforeAutospacing="0" w:after="195" w:afterAutospacing="0"/>
              <w:rPr>
                <w:rFonts w:ascii="Arial" w:hAnsi="Arial" w:cs="Arial"/>
                <w:color w:val="232323"/>
                <w:sz w:val="20"/>
                <w:szCs w:val="20"/>
              </w:rPr>
            </w:pPr>
            <w:r>
              <w:rPr>
                <w:rFonts w:ascii="Arial" w:hAnsi="Arial" w:cs="Arial"/>
                <w:color w:val="232323"/>
                <w:sz w:val="20"/>
                <w:szCs w:val="20"/>
              </w:rPr>
              <w:t>These can be obtained via the following web page  </w:t>
            </w:r>
            <w:hyperlink r:id="rId9" w:history="1">
              <w:r>
                <w:rPr>
                  <w:rStyle w:val="Hyperlink"/>
                  <w:rFonts w:ascii="Arial" w:hAnsi="Arial" w:cs="Arial"/>
                  <w:color w:val="1D5782"/>
                  <w:sz w:val="20"/>
                  <w:szCs w:val="20"/>
                </w:rPr>
                <w:t>Audit Services</w:t>
              </w:r>
            </w:hyperlink>
          </w:p>
          <w:p w:rsidR="00D12484" w:rsidRDefault="00D12484">
            <w:pPr>
              <w:jc w:val="center"/>
              <w:rPr>
                <w:rFonts w:eastAsia="Times New Roman"/>
              </w:rPr>
            </w:pPr>
            <w:r>
              <w:rPr>
                <w:rFonts w:eastAsia="Times New Roman"/>
              </w:rPr>
              <w:pict>
                <v:rect id="_x0000_i1028" style="width:451.3pt;height:1.5pt" o:hralign="center" o:hrstd="t" o:hr="t" fillcolor="#a0a0a0" stroked="f"/>
              </w:pict>
            </w:r>
          </w:p>
        </w:tc>
      </w:tr>
      <w:tr w:rsidR="00D12484" w:rsidTr="00D12484">
        <w:trPr>
          <w:jc w:val="center"/>
        </w:trPr>
        <w:tc>
          <w:tcPr>
            <w:tcW w:w="9000" w:type="dxa"/>
            <w:shd w:val="clear" w:color="auto" w:fill="FFFFFF"/>
            <w:tcMar>
              <w:top w:w="75" w:type="dxa"/>
              <w:left w:w="300" w:type="dxa"/>
              <w:bottom w:w="150" w:type="dxa"/>
              <w:right w:w="300" w:type="dxa"/>
            </w:tcMar>
            <w:hideMark/>
          </w:tcPr>
          <w:p w:rsidR="00D12484" w:rsidRDefault="00D1248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lastRenderedPageBreak/>
              <w:t>How we have been affected</w:t>
            </w:r>
          </w:p>
          <w:p w:rsidR="00D12484" w:rsidRDefault="00D12484">
            <w:pPr>
              <w:pStyle w:val="gdp"/>
              <w:spacing w:before="0" w:beforeAutospacing="0" w:after="195" w:afterAutospacing="0"/>
              <w:rPr>
                <w:rFonts w:ascii="Arial" w:hAnsi="Arial" w:cs="Arial"/>
                <w:sz w:val="20"/>
                <w:szCs w:val="20"/>
              </w:rPr>
            </w:pPr>
            <w:r>
              <w:rPr>
                <w:rFonts w:ascii="Arial" w:hAnsi="Arial" w:cs="Arial"/>
                <w:sz w:val="20"/>
                <w:szCs w:val="20"/>
              </w:rPr>
              <w:t>Some of the fraudulent activity we have recently experienced includes</w:t>
            </w:r>
          </w:p>
          <w:p w:rsidR="00D12484" w:rsidRDefault="00D12484">
            <w:pPr>
              <w:numPr>
                <w:ilvl w:val="0"/>
                <w:numId w:val="10"/>
              </w:numPr>
              <w:rPr>
                <w:rFonts w:ascii="Arial" w:eastAsia="Times New Roman" w:hAnsi="Arial" w:cs="Arial"/>
                <w:sz w:val="20"/>
                <w:szCs w:val="20"/>
              </w:rPr>
            </w:pPr>
            <w:r>
              <w:rPr>
                <w:rFonts w:ascii="Arial" w:eastAsia="Times New Roman" w:hAnsi="Arial" w:cs="Arial"/>
                <w:sz w:val="20"/>
                <w:szCs w:val="20"/>
              </w:rPr>
              <w:t xml:space="preserve">Cyber-attacks and phone scams have been experienced, with the view to obtaining money or disrupting services. </w:t>
            </w:r>
          </w:p>
          <w:p w:rsidR="00D12484" w:rsidRDefault="00D12484">
            <w:pPr>
              <w:numPr>
                <w:ilvl w:val="0"/>
                <w:numId w:val="10"/>
              </w:numPr>
              <w:rPr>
                <w:rFonts w:ascii="Arial" w:eastAsia="Times New Roman" w:hAnsi="Arial" w:cs="Arial"/>
                <w:sz w:val="20"/>
                <w:szCs w:val="20"/>
              </w:rPr>
            </w:pPr>
            <w:r>
              <w:rPr>
                <w:rFonts w:ascii="Arial" w:eastAsia="Times New Roman" w:hAnsi="Arial" w:cs="Arial"/>
                <w:sz w:val="20"/>
                <w:szCs w:val="20"/>
              </w:rPr>
              <w:t>A primary school Office Manager was given a 12-month custodial sentence, suspended for a year, and 240 hours’ community service following a guilty plea to fraud by abuse of position (approximately £30k)</w:t>
            </w:r>
          </w:p>
          <w:p w:rsidR="00D12484" w:rsidRDefault="00D12484">
            <w:pPr>
              <w:numPr>
                <w:ilvl w:val="0"/>
                <w:numId w:val="10"/>
              </w:numPr>
              <w:rPr>
                <w:rFonts w:ascii="Arial" w:eastAsia="Times New Roman" w:hAnsi="Arial" w:cs="Arial"/>
                <w:sz w:val="20"/>
                <w:szCs w:val="20"/>
              </w:rPr>
            </w:pPr>
            <w:r>
              <w:rPr>
                <w:rFonts w:ascii="Arial" w:eastAsia="Times New Roman" w:hAnsi="Arial" w:cs="Arial"/>
                <w:sz w:val="20"/>
                <w:szCs w:val="20"/>
              </w:rPr>
              <w:t>An ACS Business Support Manager was tried at Crown Court and given a custodial sentence after being found guilty of taking monies from vulnerable adults (approximately £24k)</w:t>
            </w:r>
          </w:p>
          <w:p w:rsidR="00D12484" w:rsidRDefault="00D12484">
            <w:pPr>
              <w:numPr>
                <w:ilvl w:val="0"/>
                <w:numId w:val="10"/>
              </w:numPr>
              <w:rPr>
                <w:rFonts w:ascii="Arial" w:eastAsia="Times New Roman" w:hAnsi="Arial" w:cs="Arial"/>
                <w:sz w:val="20"/>
                <w:szCs w:val="20"/>
              </w:rPr>
            </w:pPr>
            <w:r>
              <w:rPr>
                <w:rFonts w:ascii="Arial" w:eastAsia="Times New Roman" w:hAnsi="Arial" w:cs="Arial"/>
                <w:sz w:val="20"/>
                <w:szCs w:val="20"/>
              </w:rPr>
              <w:t xml:space="preserve">Two members of staff were dismissed after falsifying expenses records </w:t>
            </w:r>
          </w:p>
          <w:p w:rsidR="00D12484" w:rsidRDefault="00D12484">
            <w:pPr>
              <w:numPr>
                <w:ilvl w:val="0"/>
                <w:numId w:val="10"/>
              </w:numPr>
              <w:rPr>
                <w:rFonts w:ascii="Arial" w:eastAsia="Times New Roman" w:hAnsi="Arial" w:cs="Arial"/>
                <w:sz w:val="20"/>
                <w:szCs w:val="20"/>
              </w:rPr>
            </w:pPr>
            <w:r>
              <w:rPr>
                <w:rFonts w:ascii="Arial" w:eastAsia="Times New Roman" w:hAnsi="Arial" w:cs="Arial"/>
                <w:sz w:val="20"/>
                <w:szCs w:val="20"/>
              </w:rPr>
              <w:t>On several occasions, Suffolk County Council has received fraudulent requests for bank details to be changed, known as mandate fraud. On one occasion this was successful. </w:t>
            </w:r>
          </w:p>
          <w:p w:rsidR="00D12484" w:rsidRDefault="00D12484">
            <w:pPr>
              <w:jc w:val="center"/>
              <w:rPr>
                <w:rFonts w:eastAsia="Times New Roman"/>
              </w:rPr>
            </w:pPr>
            <w:r>
              <w:rPr>
                <w:rFonts w:eastAsia="Times New Roman"/>
              </w:rPr>
              <w:pict>
                <v:rect id="_x0000_i1029" style="width:415.3pt;height:1.5pt" o:hralign="center" o:hrstd="t" o:hr="t" fillcolor="#a0a0a0" stroked="f"/>
              </w:pict>
            </w:r>
          </w:p>
          <w:p w:rsidR="00D12484" w:rsidRDefault="00D1248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Mandate Fraud</w:t>
            </w:r>
          </w:p>
          <w:tbl>
            <w:tblPr>
              <w:tblW w:w="5000" w:type="pct"/>
              <w:tblLook w:val="04A0" w:firstRow="1" w:lastRow="0" w:firstColumn="1" w:lastColumn="0" w:noHBand="0" w:noVBand="1"/>
            </w:tblPr>
            <w:tblGrid>
              <w:gridCol w:w="8400"/>
            </w:tblGrid>
            <w:tr w:rsidR="00D12484">
              <w:tc>
                <w:tcPr>
                  <w:tcW w:w="0" w:type="auto"/>
                  <w:tcMar>
                    <w:top w:w="15" w:type="dxa"/>
                    <w:left w:w="15" w:type="dxa"/>
                    <w:bottom w:w="15" w:type="dxa"/>
                    <w:right w:w="15" w:type="dxa"/>
                  </w:tcMar>
                  <w:hideMark/>
                </w:tcPr>
                <w:p w:rsidR="00D12484" w:rsidRDefault="00D12484">
                  <w:pPr>
                    <w:pStyle w:val="gdp"/>
                    <w:spacing w:before="0" w:beforeAutospacing="0" w:after="195" w:afterAutospacing="0"/>
                    <w:rPr>
                      <w:rFonts w:ascii="Arial" w:hAnsi="Arial" w:cs="Arial"/>
                      <w:sz w:val="20"/>
                      <w:szCs w:val="20"/>
                    </w:rPr>
                  </w:pPr>
                  <w:r>
                    <w:rPr>
                      <w:noProof/>
                    </w:rPr>
                    <w:lastRenderedPageBreak/>
                    <w:drawing>
                      <wp:anchor distT="0" distB="0" distL="66675" distR="66675" simplePos="0" relativeHeight="251658240" behindDoc="0" locked="0" layoutInCell="1" allowOverlap="0" wp14:anchorId="5D5F1262" wp14:editId="2351202E">
                        <wp:simplePos x="0" y="0"/>
                        <wp:positionH relativeFrom="column">
                          <wp:align>left</wp:align>
                        </wp:positionH>
                        <wp:positionV relativeFrom="line">
                          <wp:posOffset>0</wp:posOffset>
                        </wp:positionV>
                        <wp:extent cx="2724150" cy="1524000"/>
                        <wp:effectExtent l="0" t="0" r="0" b="0"/>
                        <wp:wrapSquare wrapText="bothSides"/>
                        <wp:docPr id="4" name="Picture 4" descr="Mandate F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date Fraud"/>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2415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Mandate fraud involves the changing of account details for supplier or customer accounts in order to gain control of an account and clearly benefiting from unauthorised payments.</w:t>
                  </w:r>
                </w:p>
                <w:p w:rsidR="00D12484" w:rsidRDefault="00D12484">
                  <w:pPr>
                    <w:pStyle w:val="gdp"/>
                    <w:spacing w:before="195" w:beforeAutospacing="0" w:after="195" w:afterAutospacing="0"/>
                    <w:rPr>
                      <w:rFonts w:ascii="Arial" w:hAnsi="Arial" w:cs="Arial"/>
                      <w:sz w:val="20"/>
                      <w:szCs w:val="20"/>
                    </w:rPr>
                  </w:pPr>
                  <w:r>
                    <w:rPr>
                      <w:rFonts w:ascii="Arial" w:hAnsi="Arial" w:cs="Arial"/>
                      <w:sz w:val="20"/>
                      <w:szCs w:val="20"/>
                    </w:rPr>
                    <w:t>Requests may be received by phone, letter, or email to update account details.  If you receive a request from a supplier or customer to amend any details, you must undertake adequate due diligence checks before asking the Payments Team to amend the supplier’s record.</w:t>
                  </w:r>
                </w:p>
                <w:p w:rsidR="00D12484" w:rsidRDefault="00D12484">
                  <w:pPr>
                    <w:numPr>
                      <w:ilvl w:val="0"/>
                      <w:numId w:val="11"/>
                    </w:numPr>
                    <w:rPr>
                      <w:rFonts w:ascii="Arial" w:eastAsia="Times New Roman" w:hAnsi="Arial" w:cs="Arial"/>
                      <w:sz w:val="20"/>
                      <w:szCs w:val="20"/>
                    </w:rPr>
                  </w:pPr>
                  <w:r>
                    <w:rPr>
                      <w:rFonts w:ascii="Arial" w:eastAsia="Times New Roman" w:hAnsi="Arial" w:cs="Arial"/>
                      <w:sz w:val="20"/>
                      <w:szCs w:val="20"/>
                    </w:rPr>
                    <w:t>Always verify requests to amend payment details by contacting the organisation directly using established contact details (via the telephone or in writing).  </w:t>
                  </w:r>
                </w:p>
                <w:p w:rsidR="00D12484" w:rsidRDefault="00D12484">
                  <w:pPr>
                    <w:numPr>
                      <w:ilvl w:val="0"/>
                      <w:numId w:val="11"/>
                    </w:numPr>
                    <w:rPr>
                      <w:rFonts w:ascii="Arial" w:eastAsia="Times New Roman" w:hAnsi="Arial" w:cs="Arial"/>
                      <w:sz w:val="20"/>
                      <w:szCs w:val="20"/>
                    </w:rPr>
                  </w:pPr>
                  <w:r>
                    <w:rPr>
                      <w:rFonts w:ascii="Arial" w:eastAsia="Times New Roman" w:hAnsi="Arial" w:cs="Arial"/>
                      <w:sz w:val="20"/>
                      <w:szCs w:val="20"/>
                    </w:rPr>
                    <w:t>Never accept the request at face value via email, telephone or letter alone; nor use the contact details on correspondence for verification, if it differs from the usual contact number.</w:t>
                  </w:r>
                </w:p>
                <w:p w:rsidR="00D12484" w:rsidRDefault="00D12484">
                  <w:pPr>
                    <w:pStyle w:val="gdp"/>
                    <w:spacing w:before="195" w:beforeAutospacing="0" w:after="195" w:afterAutospacing="0"/>
                    <w:rPr>
                      <w:rFonts w:ascii="Arial" w:hAnsi="Arial" w:cs="Arial"/>
                      <w:sz w:val="20"/>
                      <w:szCs w:val="20"/>
                    </w:rPr>
                  </w:pPr>
                  <w:r>
                    <w:rPr>
                      <w:rFonts w:ascii="Arial" w:hAnsi="Arial" w:cs="Arial"/>
                      <w:sz w:val="20"/>
                      <w:szCs w:val="20"/>
                    </w:rPr>
                    <w:t>Remember, it is quite rare for an organisation to change its bank account details, so if you get a request it is worth checking it out first.</w:t>
                  </w:r>
                </w:p>
                <w:p w:rsidR="00D12484" w:rsidRDefault="00D12484">
                  <w:pPr>
                    <w:pStyle w:val="gdp"/>
                    <w:spacing w:before="195" w:beforeAutospacing="0" w:after="195" w:afterAutospacing="0"/>
                    <w:rPr>
                      <w:rFonts w:ascii="Arial" w:hAnsi="Arial" w:cs="Arial"/>
                      <w:sz w:val="20"/>
                      <w:szCs w:val="20"/>
                    </w:rPr>
                  </w:pPr>
                  <w:r>
                    <w:rPr>
                      <w:rFonts w:ascii="Arial" w:hAnsi="Arial" w:cs="Arial"/>
                      <w:sz w:val="20"/>
                      <w:szCs w:val="20"/>
                    </w:rPr>
                    <w:t xml:space="preserve">The Action Fraud </w:t>
                  </w:r>
                  <w:hyperlink r:id="rId11" w:history="1">
                    <w:r>
                      <w:rPr>
                        <w:rStyle w:val="Hyperlink"/>
                        <w:rFonts w:ascii="Arial" w:hAnsi="Arial" w:cs="Arial"/>
                        <w:color w:val="1D5782"/>
                        <w:sz w:val="20"/>
                        <w:szCs w:val="20"/>
                      </w:rPr>
                      <w:t>website</w:t>
                    </w:r>
                  </w:hyperlink>
                  <w:r>
                    <w:rPr>
                      <w:rFonts w:ascii="Arial" w:hAnsi="Arial" w:cs="Arial"/>
                      <w:sz w:val="20"/>
                      <w:szCs w:val="20"/>
                    </w:rPr>
                    <w:t xml:space="preserve"> has useful guidance in relation to mandate fraud including the precautions to take.</w:t>
                  </w:r>
                </w:p>
              </w:tc>
            </w:tr>
          </w:tbl>
          <w:p w:rsidR="00D12484" w:rsidRDefault="00D12484">
            <w:pPr>
              <w:jc w:val="center"/>
              <w:rPr>
                <w:rFonts w:eastAsia="Times New Roman"/>
              </w:rPr>
            </w:pPr>
            <w:r>
              <w:rPr>
                <w:rFonts w:eastAsia="Times New Roman"/>
              </w:rPr>
              <w:pict>
                <v:rect id="_x0000_i1030" style="width:451.3pt;height:1.5pt" o:hralign="center" o:hrstd="t" o:hr="t" fillcolor="#a0a0a0" stroked="f"/>
              </w:pict>
            </w:r>
          </w:p>
          <w:p w:rsidR="00D12484" w:rsidRDefault="00D1248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Cyber Security</w:t>
            </w:r>
          </w:p>
          <w:tbl>
            <w:tblPr>
              <w:tblW w:w="5000" w:type="pct"/>
              <w:tblLook w:val="04A0" w:firstRow="1" w:lastRow="0" w:firstColumn="1" w:lastColumn="0" w:noHBand="0" w:noVBand="1"/>
            </w:tblPr>
            <w:tblGrid>
              <w:gridCol w:w="8400"/>
            </w:tblGrid>
            <w:tr w:rsidR="00D12484">
              <w:tc>
                <w:tcPr>
                  <w:tcW w:w="0" w:type="auto"/>
                  <w:tcMar>
                    <w:top w:w="15" w:type="dxa"/>
                    <w:left w:w="15" w:type="dxa"/>
                    <w:bottom w:w="15" w:type="dxa"/>
                    <w:right w:w="15" w:type="dxa"/>
                  </w:tcMar>
                  <w:hideMark/>
                </w:tcPr>
                <w:p w:rsidR="00D12484" w:rsidRDefault="00D12484">
                  <w:pPr>
                    <w:pStyle w:val="gdp"/>
                    <w:spacing w:before="0" w:beforeAutospacing="0" w:after="195" w:afterAutospacing="0"/>
                    <w:rPr>
                      <w:rFonts w:ascii="Arial" w:hAnsi="Arial" w:cs="Arial"/>
                      <w:sz w:val="20"/>
                      <w:szCs w:val="20"/>
                    </w:rPr>
                  </w:pPr>
                  <w:r>
                    <w:rPr>
                      <w:noProof/>
                    </w:rPr>
                    <w:drawing>
                      <wp:anchor distT="0" distB="0" distL="66675" distR="66675" simplePos="0" relativeHeight="251658240" behindDoc="0" locked="0" layoutInCell="1" allowOverlap="0" wp14:anchorId="7A4C51BC" wp14:editId="5CE88F02">
                        <wp:simplePos x="0" y="0"/>
                        <wp:positionH relativeFrom="column">
                          <wp:align>left</wp:align>
                        </wp:positionH>
                        <wp:positionV relativeFrom="line">
                          <wp:posOffset>0</wp:posOffset>
                        </wp:positionV>
                        <wp:extent cx="2171700" cy="1000125"/>
                        <wp:effectExtent l="0" t="0" r="0" b="9525"/>
                        <wp:wrapSquare wrapText="bothSides"/>
                        <wp:docPr id="3" name="Picture 3" descr="Cyber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ber Security"/>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1717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Cyber security is critical to the health and growth of every organisation.  We need to be aware of the Cyber threats and how to identify &amp; report them.</w:t>
                  </w:r>
                </w:p>
                <w:p w:rsidR="00D12484" w:rsidRDefault="00D12484">
                  <w:pPr>
                    <w:pStyle w:val="gdp"/>
                    <w:spacing w:before="0" w:beforeAutospacing="0" w:after="195" w:afterAutospacing="0"/>
                    <w:rPr>
                      <w:rFonts w:ascii="Arial" w:hAnsi="Arial" w:cs="Arial"/>
                      <w:sz w:val="20"/>
                      <w:szCs w:val="20"/>
                    </w:rPr>
                  </w:pPr>
                  <w:r>
                    <w:rPr>
                      <w:rFonts w:ascii="Arial" w:hAnsi="Arial" w:cs="Arial"/>
                      <w:sz w:val="20"/>
                      <w:szCs w:val="20"/>
                    </w:rPr>
                    <w:t>IT are constantly reviewing security measures to keep our data, systems and network safe, having recently invested in new technology to manage our data flows into and out of our network.</w:t>
                  </w:r>
                </w:p>
                <w:p w:rsidR="00D12484" w:rsidRDefault="00D12484">
                  <w:pPr>
                    <w:pStyle w:val="gdp"/>
                    <w:spacing w:before="195" w:beforeAutospacing="0" w:after="195" w:afterAutospacing="0"/>
                  </w:pPr>
                  <w:r>
                    <w:rPr>
                      <w:rFonts w:ascii="Arial" w:hAnsi="Arial" w:cs="Arial"/>
                      <w:sz w:val="20"/>
                      <w:szCs w:val="20"/>
                    </w:rPr>
                    <w:t xml:space="preserve">Information security is very important and if you spot anything suspicious, please report it using the </w:t>
                  </w:r>
                  <w:r>
                    <w:rPr>
                      <w:rFonts w:ascii="Arial" w:hAnsi="Arial" w:cs="Arial"/>
                      <w:b/>
                      <w:bCs/>
                      <w:sz w:val="20"/>
                      <w:szCs w:val="20"/>
                    </w:rPr>
                    <w:t>Information Security Incident Reporting form</w:t>
                  </w:r>
                  <w:r>
                    <w:rPr>
                      <w:rFonts w:ascii="Arial" w:hAnsi="Arial" w:cs="Arial"/>
                      <w:sz w:val="20"/>
                      <w:szCs w:val="20"/>
                    </w:rPr>
                    <w:t xml:space="preserve"> on IT Self Service.  On this page, examples of the most common Information Security Incidents are listed.</w:t>
                  </w:r>
                </w:p>
                <w:p w:rsidR="00D12484" w:rsidRDefault="00D12484">
                  <w:pPr>
                    <w:pStyle w:val="gdp"/>
                    <w:spacing w:before="195" w:beforeAutospacing="0" w:after="195" w:afterAutospacing="0"/>
                  </w:pPr>
                  <w:r>
                    <w:rPr>
                      <w:rFonts w:ascii="Arial" w:hAnsi="Arial" w:cs="Arial"/>
                      <w:sz w:val="20"/>
                      <w:szCs w:val="20"/>
                    </w:rPr>
                    <w:t>You should also be familiar with the</w:t>
                  </w:r>
                  <w:hyperlink r:id="rId13" w:history="1">
                    <w:r>
                      <w:rPr>
                        <w:rStyle w:val="Hyperlink"/>
                        <w:rFonts w:ascii="Arial" w:hAnsi="Arial" w:cs="Arial"/>
                        <w:color w:val="1D5782"/>
                        <w:sz w:val="20"/>
                        <w:szCs w:val="20"/>
                      </w:rPr>
                      <w:t xml:space="preserve"> IT and information security policies</w:t>
                    </w:r>
                  </w:hyperlink>
                  <w:r>
                    <w:rPr>
                      <w:rFonts w:ascii="Arial" w:hAnsi="Arial" w:cs="Arial"/>
                      <w:sz w:val="20"/>
                      <w:szCs w:val="20"/>
                    </w:rPr>
                    <w:t xml:space="preserve"> that are in place to assist with cyber security and best practices.</w:t>
                  </w:r>
                </w:p>
                <w:p w:rsidR="00D12484" w:rsidRDefault="00D12484">
                  <w:pPr>
                    <w:pStyle w:val="gdp"/>
                    <w:spacing w:before="195" w:beforeAutospacing="0" w:after="195" w:afterAutospacing="0"/>
                    <w:rPr>
                      <w:rFonts w:ascii="Arial" w:hAnsi="Arial" w:cs="Arial"/>
                      <w:sz w:val="20"/>
                      <w:szCs w:val="20"/>
                    </w:rPr>
                  </w:pPr>
                  <w:hyperlink r:id="rId14" w:history="1">
                    <w:r>
                      <w:rPr>
                        <w:rStyle w:val="Hyperlink"/>
                        <w:rFonts w:ascii="Arial" w:hAnsi="Arial" w:cs="Arial"/>
                        <w:color w:val="1D5782"/>
                        <w:sz w:val="20"/>
                        <w:szCs w:val="20"/>
                      </w:rPr>
                      <w:t xml:space="preserve">An eLearning module </w:t>
                    </w:r>
                  </w:hyperlink>
                  <w:r>
                    <w:rPr>
                      <w:rFonts w:ascii="Arial" w:hAnsi="Arial" w:cs="Arial"/>
                      <w:sz w:val="20"/>
                      <w:szCs w:val="20"/>
                    </w:rPr>
                    <w:t>is available 'LADEL127 Introduction to IT Security'.  This module provides an introduction to all aspects of IT security for all network users.</w:t>
                  </w:r>
                </w:p>
                <w:p w:rsidR="00D12484" w:rsidRDefault="00D12484">
                  <w:pPr>
                    <w:pStyle w:val="gdp"/>
                    <w:spacing w:before="195" w:beforeAutospacing="0" w:after="195" w:afterAutospacing="0"/>
                  </w:pPr>
                  <w:r>
                    <w:rPr>
                      <w:rFonts w:ascii="Arial" w:hAnsi="Arial" w:cs="Arial"/>
                      <w:sz w:val="20"/>
                      <w:szCs w:val="20"/>
                    </w:rPr>
                    <w:t>For more cyber security advice, including cyber security at home and reporting online fraud at home, view these websites:</w:t>
                  </w:r>
                </w:p>
                <w:p w:rsidR="00D12484" w:rsidRDefault="00D12484">
                  <w:pPr>
                    <w:pStyle w:val="gdp"/>
                    <w:spacing w:before="195" w:beforeAutospacing="0" w:after="195" w:afterAutospacing="0"/>
                    <w:rPr>
                      <w:rFonts w:ascii="Arial" w:hAnsi="Arial" w:cs="Arial"/>
                      <w:sz w:val="20"/>
                      <w:szCs w:val="20"/>
                    </w:rPr>
                  </w:pPr>
                  <w:hyperlink r:id="rId15" w:history="1">
                    <w:r>
                      <w:rPr>
                        <w:rStyle w:val="Hyperlink"/>
                        <w:rFonts w:ascii="Arial" w:hAnsi="Arial" w:cs="Arial"/>
                        <w:color w:val="1D5782"/>
                        <w:sz w:val="20"/>
                        <w:szCs w:val="20"/>
                      </w:rPr>
                      <w:t>http</w:t>
                    </w:r>
                  </w:hyperlink>
                  <w:hyperlink r:id="rId16" w:history="1">
                    <w:r>
                      <w:rPr>
                        <w:rStyle w:val="Hyperlink"/>
                        <w:rFonts w:ascii="Arial" w:hAnsi="Arial" w:cs="Arial"/>
                        <w:color w:val="1D5782"/>
                        <w:sz w:val="20"/>
                        <w:szCs w:val="20"/>
                      </w:rPr>
                      <w:t>://</w:t>
                    </w:r>
                  </w:hyperlink>
                  <w:hyperlink r:id="rId17" w:history="1">
                    <w:r>
                      <w:rPr>
                        <w:rStyle w:val="Hyperlink"/>
                        <w:rFonts w:ascii="Arial" w:hAnsi="Arial" w:cs="Arial"/>
                        <w:color w:val="1D5782"/>
                        <w:sz w:val="20"/>
                        <w:szCs w:val="20"/>
                      </w:rPr>
                      <w:t>www.actionfraud.police.uk</w:t>
                    </w:r>
                  </w:hyperlink>
                </w:p>
                <w:p w:rsidR="00D12484" w:rsidRDefault="00D12484">
                  <w:pPr>
                    <w:pStyle w:val="gdp"/>
                    <w:spacing w:before="195" w:beforeAutospacing="0" w:after="195" w:afterAutospacing="0"/>
                    <w:rPr>
                      <w:rFonts w:ascii="Arial" w:hAnsi="Arial" w:cs="Arial"/>
                      <w:sz w:val="20"/>
                      <w:szCs w:val="20"/>
                    </w:rPr>
                  </w:pPr>
                  <w:hyperlink r:id="rId18" w:history="1">
                    <w:r>
                      <w:rPr>
                        <w:rStyle w:val="Hyperlink"/>
                        <w:rFonts w:ascii="Arial" w:hAnsi="Arial" w:cs="Arial"/>
                        <w:color w:val="1D5782"/>
                        <w:sz w:val="20"/>
                        <w:szCs w:val="20"/>
                      </w:rPr>
                      <w:t>https</w:t>
                    </w:r>
                  </w:hyperlink>
                  <w:hyperlink r:id="rId19" w:history="1">
                    <w:r>
                      <w:rPr>
                        <w:rStyle w:val="Hyperlink"/>
                        <w:rFonts w:ascii="Arial" w:hAnsi="Arial" w:cs="Arial"/>
                        <w:color w:val="1D5782"/>
                        <w:sz w:val="20"/>
                        <w:szCs w:val="20"/>
                      </w:rPr>
                      <w:t>://</w:t>
                    </w:r>
                  </w:hyperlink>
                  <w:hyperlink r:id="rId20" w:history="1">
                    <w:r>
                      <w:rPr>
                        <w:rStyle w:val="Hyperlink"/>
                        <w:rFonts w:ascii="Arial" w:hAnsi="Arial" w:cs="Arial"/>
                        <w:color w:val="1D5782"/>
                        <w:sz w:val="20"/>
                        <w:szCs w:val="20"/>
                      </w:rPr>
                      <w:t>www.cyberaware.gov.uk</w:t>
                    </w:r>
                  </w:hyperlink>
                </w:p>
                <w:p w:rsidR="00D12484" w:rsidRDefault="00D12484">
                  <w:pPr>
                    <w:pStyle w:val="gdp"/>
                    <w:spacing w:before="195" w:beforeAutospacing="0" w:after="195" w:afterAutospacing="0"/>
                    <w:rPr>
                      <w:rFonts w:ascii="Arial" w:hAnsi="Arial" w:cs="Arial"/>
                      <w:sz w:val="20"/>
                      <w:szCs w:val="20"/>
                    </w:rPr>
                  </w:pPr>
                  <w:hyperlink r:id="rId21" w:history="1">
                    <w:r>
                      <w:rPr>
                        <w:rStyle w:val="Hyperlink"/>
                        <w:rFonts w:ascii="Arial" w:hAnsi="Arial" w:cs="Arial"/>
                        <w:color w:val="1D5782"/>
                        <w:sz w:val="20"/>
                        <w:szCs w:val="20"/>
                      </w:rPr>
                      <w:t>https</w:t>
                    </w:r>
                  </w:hyperlink>
                  <w:hyperlink r:id="rId22" w:history="1">
                    <w:r>
                      <w:rPr>
                        <w:rStyle w:val="Hyperlink"/>
                        <w:rFonts w:ascii="Arial" w:hAnsi="Arial" w:cs="Arial"/>
                        <w:color w:val="1D5782"/>
                        <w:sz w:val="20"/>
                        <w:szCs w:val="20"/>
                      </w:rPr>
                      <w:t>://</w:t>
                    </w:r>
                  </w:hyperlink>
                  <w:hyperlink r:id="rId23" w:history="1">
                    <w:r>
                      <w:rPr>
                        <w:rStyle w:val="Hyperlink"/>
                        <w:rFonts w:ascii="Arial" w:hAnsi="Arial" w:cs="Arial"/>
                        <w:color w:val="1D5782"/>
                        <w:sz w:val="20"/>
                        <w:szCs w:val="20"/>
                      </w:rPr>
                      <w:t>www.getsafeonline.org</w:t>
                    </w:r>
                  </w:hyperlink>
                  <w:r>
                    <w:rPr>
                      <w:rFonts w:ascii="Arial" w:hAnsi="Arial" w:cs="Arial"/>
                      <w:sz w:val="20"/>
                      <w:szCs w:val="20"/>
                    </w:rPr>
                    <w:t>. </w:t>
                  </w:r>
                </w:p>
              </w:tc>
            </w:tr>
          </w:tbl>
          <w:p w:rsidR="00D12484" w:rsidRDefault="00D12484">
            <w:pPr>
              <w:jc w:val="center"/>
              <w:rPr>
                <w:rFonts w:eastAsia="Times New Roman"/>
              </w:rPr>
            </w:pPr>
            <w:r>
              <w:rPr>
                <w:rFonts w:eastAsia="Times New Roman"/>
              </w:rPr>
              <w:pict>
                <v:rect id="_x0000_i1031" style="width:451.3pt;height:1.5pt" o:hralign="center" o:hrstd="t" o:hr="t" fillcolor="#a0a0a0" stroked="f"/>
              </w:pict>
            </w:r>
          </w:p>
          <w:p w:rsidR="00D12484" w:rsidRDefault="00D1248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What could you do to reduce fraud?</w:t>
            </w:r>
          </w:p>
          <w:p w:rsidR="00D12484" w:rsidRDefault="00D12484">
            <w:pPr>
              <w:pStyle w:val="gdp"/>
              <w:spacing w:before="0" w:beforeAutospacing="0" w:after="195" w:afterAutospacing="0"/>
              <w:rPr>
                <w:rFonts w:ascii="Arial" w:hAnsi="Arial" w:cs="Arial"/>
                <w:sz w:val="20"/>
                <w:szCs w:val="20"/>
              </w:rPr>
            </w:pPr>
            <w:r>
              <w:rPr>
                <w:rFonts w:ascii="Arial" w:hAnsi="Arial" w:cs="Arial"/>
                <w:sz w:val="20"/>
                <w:szCs w:val="20"/>
              </w:rPr>
              <w:t xml:space="preserve">Across the public sector, certain levels of control are expected or required; for example to reduce the risk of fraud or human error to a level which is deemed acceptable to the public and </w:t>
            </w:r>
            <w:r>
              <w:rPr>
                <w:rFonts w:ascii="Arial" w:hAnsi="Arial" w:cs="Arial"/>
                <w:sz w:val="20"/>
                <w:szCs w:val="20"/>
              </w:rPr>
              <w:lastRenderedPageBreak/>
              <w:t>other stakeholders.</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As a manager what could you do to reduce fraud?</w:t>
            </w:r>
          </w:p>
          <w:p w:rsidR="00D12484" w:rsidRDefault="00D12484">
            <w:pPr>
              <w:pStyle w:val="gdp"/>
              <w:spacing w:before="195" w:beforeAutospacing="0" w:after="195" w:afterAutospacing="0"/>
              <w:rPr>
                <w:rFonts w:ascii="Arial" w:hAnsi="Arial" w:cs="Arial"/>
                <w:sz w:val="20"/>
                <w:szCs w:val="20"/>
              </w:rPr>
            </w:pPr>
            <w:r>
              <w:rPr>
                <w:rFonts w:ascii="Arial" w:hAnsi="Arial" w:cs="Arial"/>
                <w:sz w:val="20"/>
                <w:szCs w:val="20"/>
              </w:rPr>
              <w:t>Across the public sector certain levels of control are expected or required; for example, to reduce the risk of fraud or human error to a level which is deemed acceptable to the public and other stakeholders.</w:t>
            </w:r>
          </w:p>
          <w:p w:rsidR="00D12484" w:rsidRDefault="00D12484">
            <w:pPr>
              <w:pStyle w:val="gdp"/>
              <w:spacing w:before="195" w:beforeAutospacing="0" w:after="195" w:afterAutospacing="0"/>
              <w:rPr>
                <w:rFonts w:ascii="Arial" w:hAnsi="Arial" w:cs="Arial"/>
                <w:sz w:val="20"/>
                <w:szCs w:val="20"/>
              </w:rPr>
            </w:pPr>
            <w:r>
              <w:rPr>
                <w:rFonts w:ascii="Arial" w:hAnsi="Arial" w:cs="Arial"/>
                <w:sz w:val="20"/>
                <w:szCs w:val="20"/>
              </w:rPr>
              <w:t>Examples of controls that you could consider for your areas of responsibility are:</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Segregation of duties</w:t>
            </w:r>
            <w:r>
              <w:rPr>
                <w:rFonts w:ascii="Arial" w:hAnsi="Arial" w:cs="Arial"/>
                <w:sz w:val="20"/>
                <w:szCs w:val="20"/>
              </w:rPr>
              <w:t xml:space="preserve"> – separate people being involved in a process (e.g. separation of initiation, authorisation, recording).  No one person to be responsible for recording and processing a complete transaction. </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Organisation</w:t>
            </w:r>
            <w:r>
              <w:rPr>
                <w:rFonts w:ascii="Arial" w:hAnsi="Arial" w:cs="Arial"/>
                <w:sz w:val="20"/>
                <w:szCs w:val="20"/>
              </w:rPr>
              <w:t xml:space="preserve"> – ensuring that people know what they are doing and have knowledge of their role, responsibilities, and their lines of reporting. </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Authorisation (or Approval)</w:t>
            </w:r>
            <w:r>
              <w:rPr>
                <w:rFonts w:ascii="Arial" w:hAnsi="Arial" w:cs="Arial"/>
                <w:sz w:val="20"/>
                <w:szCs w:val="20"/>
              </w:rPr>
              <w:t xml:space="preserve"> – transactions should be authorised within set limits. </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Physical (the physical custody of assets)</w:t>
            </w:r>
            <w:r>
              <w:rPr>
                <w:rFonts w:ascii="Arial" w:hAnsi="Arial" w:cs="Arial"/>
                <w:sz w:val="20"/>
                <w:szCs w:val="20"/>
              </w:rPr>
              <w:t xml:space="preserve"> – all assets (e.g. cash, laptops, phones etc.) should be held securely and procedures in place designed to limit access to authorised personnel only. </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Supervision</w:t>
            </w:r>
            <w:r>
              <w:rPr>
                <w:rFonts w:ascii="Arial" w:hAnsi="Arial" w:cs="Arial"/>
                <w:sz w:val="20"/>
                <w:szCs w:val="20"/>
              </w:rPr>
              <w:t xml:space="preserve"> – all actions by all levels of staff should be supervised.  </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 xml:space="preserve">Personnel </w:t>
            </w:r>
            <w:r>
              <w:rPr>
                <w:rFonts w:ascii="Arial" w:hAnsi="Arial" w:cs="Arial"/>
                <w:sz w:val="20"/>
                <w:szCs w:val="20"/>
              </w:rPr>
              <w:t>– staff should be competent (recruitment procedures, training, and development) and appraisals should be undertaken regularly.  </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Arithmetical and Accounting</w:t>
            </w:r>
            <w:r>
              <w:rPr>
                <w:rFonts w:ascii="Arial" w:hAnsi="Arial" w:cs="Arial"/>
                <w:sz w:val="20"/>
                <w:szCs w:val="20"/>
              </w:rPr>
              <w:t xml:space="preserve"> – Transactions should be checked to ensure they are authorised, complete, correctly recorded, and processed accurately. </w:t>
            </w:r>
          </w:p>
          <w:p w:rsidR="00D12484" w:rsidRDefault="00D12484">
            <w:pPr>
              <w:pStyle w:val="gdp"/>
              <w:spacing w:before="195" w:beforeAutospacing="0" w:after="195" w:afterAutospacing="0"/>
              <w:rPr>
                <w:rFonts w:ascii="Arial" w:hAnsi="Arial" w:cs="Arial"/>
                <w:sz w:val="20"/>
                <w:szCs w:val="20"/>
              </w:rPr>
            </w:pPr>
            <w:r>
              <w:rPr>
                <w:rFonts w:ascii="Arial" w:hAnsi="Arial" w:cs="Arial"/>
                <w:b/>
                <w:bCs/>
                <w:sz w:val="20"/>
                <w:szCs w:val="20"/>
              </w:rPr>
              <w:t xml:space="preserve">Management </w:t>
            </w:r>
            <w:r>
              <w:rPr>
                <w:rFonts w:ascii="Arial" w:hAnsi="Arial" w:cs="Arial"/>
                <w:sz w:val="20"/>
                <w:szCs w:val="20"/>
              </w:rPr>
              <w:t>-</w:t>
            </w:r>
            <w:proofErr w:type="gramStart"/>
            <w:r>
              <w:rPr>
                <w:rFonts w:ascii="Arial" w:hAnsi="Arial" w:cs="Arial"/>
                <w:sz w:val="20"/>
                <w:szCs w:val="20"/>
              </w:rPr>
              <w:t>  there</w:t>
            </w:r>
            <w:proofErr w:type="gramEnd"/>
            <w:r>
              <w:rPr>
                <w:rFonts w:ascii="Arial" w:hAnsi="Arial" w:cs="Arial"/>
                <w:sz w:val="20"/>
                <w:szCs w:val="20"/>
              </w:rPr>
              <w:t xml:space="preserve"> should be a hierarchy of responsibility to ensure individuals and services are accountable.</w:t>
            </w:r>
          </w:p>
          <w:p w:rsidR="00D12484" w:rsidRDefault="00D12484">
            <w:pPr>
              <w:jc w:val="center"/>
              <w:rPr>
                <w:rFonts w:eastAsia="Times New Roman"/>
              </w:rPr>
            </w:pPr>
            <w:r>
              <w:rPr>
                <w:rFonts w:eastAsia="Times New Roman"/>
              </w:rPr>
              <w:pict>
                <v:rect id="_x0000_i1032" style="width:451.3pt;height:1.5pt" o:hralign="center" o:hrstd="t" o:hr="t" fillcolor="#a0a0a0" stroked="f"/>
              </w:pict>
            </w:r>
          </w:p>
          <w:p w:rsidR="00D12484" w:rsidRDefault="00D1248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How do I report it?</w:t>
            </w:r>
          </w:p>
          <w:p w:rsidR="00D12484" w:rsidRDefault="00D12484">
            <w:pPr>
              <w:pStyle w:val="gdp"/>
              <w:spacing w:before="0" w:beforeAutospacing="0" w:after="195" w:afterAutospacing="0"/>
              <w:rPr>
                <w:rFonts w:ascii="Arial" w:hAnsi="Arial" w:cs="Arial"/>
                <w:sz w:val="20"/>
                <w:szCs w:val="20"/>
              </w:rPr>
            </w:pPr>
            <w:r>
              <w:rPr>
                <w:rFonts w:ascii="Arial" w:hAnsi="Arial" w:cs="Arial"/>
                <w:b/>
                <w:bCs/>
                <w:sz w:val="20"/>
                <w:szCs w:val="20"/>
              </w:rPr>
              <w:t>If you suspect fraud or corruption please report it to </w:t>
            </w:r>
            <w:hyperlink r:id="rId24" w:history="1">
              <w:r>
                <w:rPr>
                  <w:rStyle w:val="Hyperlink"/>
                  <w:rFonts w:ascii="Arial" w:hAnsi="Arial" w:cs="Arial"/>
                  <w:b/>
                  <w:bCs/>
                  <w:color w:val="1D5782"/>
                  <w:sz w:val="20"/>
                  <w:szCs w:val="20"/>
                </w:rPr>
                <w:t>Peter Frost</w:t>
              </w:r>
            </w:hyperlink>
            <w:r>
              <w:rPr>
                <w:rFonts w:ascii="Arial" w:hAnsi="Arial" w:cs="Arial"/>
                <w:b/>
                <w:bCs/>
                <w:sz w:val="20"/>
                <w:szCs w:val="20"/>
              </w:rPr>
              <w:t>.  </w:t>
            </w:r>
          </w:p>
          <w:p w:rsidR="00D12484" w:rsidRDefault="00D12484">
            <w:pPr>
              <w:jc w:val="center"/>
              <w:rPr>
                <w:rFonts w:eastAsia="Times New Roman"/>
              </w:rPr>
            </w:pPr>
            <w:r>
              <w:rPr>
                <w:rFonts w:eastAsia="Times New Roman"/>
              </w:rPr>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400"/>
            </w:tblGrid>
            <w:tr w:rsidR="00D12484">
              <w:tc>
                <w:tcPr>
                  <w:tcW w:w="0" w:type="auto"/>
                  <w:hideMark/>
                </w:tcPr>
                <w:p w:rsidR="00D12484" w:rsidRDefault="00D12484">
                  <w:pPr>
                    <w:jc w:val="center"/>
                    <w:rPr>
                      <w:rFonts w:eastAsia="Times New Roman"/>
                    </w:rPr>
                  </w:pPr>
                  <w:r>
                    <w:rPr>
                      <w:rFonts w:eastAsia="Times New Roman"/>
                      <w:noProof/>
                    </w:rPr>
                    <w:drawing>
                      <wp:inline distT="0" distB="0" distL="0" distR="0" wp14:anchorId="60C3275A" wp14:editId="39C9898D">
                        <wp:extent cx="1914525" cy="1085850"/>
                        <wp:effectExtent l="0" t="0" r="9525" b="0"/>
                        <wp:docPr id="1" name="Picture 1" descr="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wa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4525" cy="1085850"/>
                                </a:xfrm>
                                <a:prstGeom prst="rect">
                                  <a:avLst/>
                                </a:prstGeom>
                                <a:noFill/>
                                <a:ln>
                                  <a:noFill/>
                                </a:ln>
                              </pic:spPr>
                            </pic:pic>
                          </a:graphicData>
                        </a:graphic>
                      </wp:inline>
                    </w:drawing>
                  </w:r>
                </w:p>
              </w:tc>
            </w:tr>
          </w:tbl>
          <w:p w:rsidR="00D12484" w:rsidRDefault="00D12484">
            <w:pPr>
              <w:rPr>
                <w:rFonts w:eastAsia="Times New Roman"/>
                <w:sz w:val="20"/>
                <w:szCs w:val="20"/>
              </w:rPr>
            </w:pPr>
          </w:p>
        </w:tc>
      </w:tr>
    </w:tbl>
    <w:p w:rsidR="00776600" w:rsidRDefault="00776600"/>
    <w:sectPr w:rsidR="00776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1C5D"/>
    <w:multiLevelType w:val="multilevel"/>
    <w:tmpl w:val="AC78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8C6A8B"/>
    <w:multiLevelType w:val="multilevel"/>
    <w:tmpl w:val="521A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C0596E"/>
    <w:multiLevelType w:val="multilevel"/>
    <w:tmpl w:val="320A3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EB3806"/>
    <w:multiLevelType w:val="multilevel"/>
    <w:tmpl w:val="0DCE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90403A"/>
    <w:multiLevelType w:val="multilevel"/>
    <w:tmpl w:val="5E00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7E13B5A"/>
    <w:multiLevelType w:val="multilevel"/>
    <w:tmpl w:val="5A003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5804AC"/>
    <w:multiLevelType w:val="multilevel"/>
    <w:tmpl w:val="C38E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271788F"/>
    <w:multiLevelType w:val="multilevel"/>
    <w:tmpl w:val="8E06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510B3D"/>
    <w:multiLevelType w:val="multilevel"/>
    <w:tmpl w:val="8F821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0E7E9E"/>
    <w:multiLevelType w:val="multilevel"/>
    <w:tmpl w:val="8A86A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2950D64"/>
    <w:multiLevelType w:val="multilevel"/>
    <w:tmpl w:val="CDE66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84"/>
    <w:rsid w:val="00776600"/>
    <w:rsid w:val="00D1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8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124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84"/>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12484"/>
    <w:rPr>
      <w:color w:val="0000FF"/>
      <w:u w:val="single"/>
    </w:rPr>
  </w:style>
  <w:style w:type="paragraph" w:customStyle="1" w:styleId="gdp">
    <w:name w:val="gd_p"/>
    <w:basedOn w:val="Normal"/>
    <w:rsid w:val="00D12484"/>
    <w:pPr>
      <w:spacing w:before="100" w:beforeAutospacing="1" w:after="100" w:afterAutospacing="1"/>
    </w:pPr>
  </w:style>
  <w:style w:type="paragraph" w:styleId="BalloonText">
    <w:name w:val="Balloon Text"/>
    <w:basedOn w:val="Normal"/>
    <w:link w:val="BalloonTextChar"/>
    <w:uiPriority w:val="99"/>
    <w:semiHidden/>
    <w:unhideWhenUsed/>
    <w:rsid w:val="00D12484"/>
    <w:rPr>
      <w:rFonts w:ascii="Tahoma" w:hAnsi="Tahoma" w:cs="Tahoma"/>
      <w:sz w:val="16"/>
      <w:szCs w:val="16"/>
    </w:rPr>
  </w:style>
  <w:style w:type="character" w:customStyle="1" w:styleId="BalloonTextChar">
    <w:name w:val="Balloon Text Char"/>
    <w:basedOn w:val="DefaultParagraphFont"/>
    <w:link w:val="BalloonText"/>
    <w:uiPriority w:val="99"/>
    <w:semiHidden/>
    <w:rsid w:val="00D1248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8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124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84"/>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12484"/>
    <w:rPr>
      <w:color w:val="0000FF"/>
      <w:u w:val="single"/>
    </w:rPr>
  </w:style>
  <w:style w:type="paragraph" w:customStyle="1" w:styleId="gdp">
    <w:name w:val="gd_p"/>
    <w:basedOn w:val="Normal"/>
    <w:rsid w:val="00D12484"/>
    <w:pPr>
      <w:spacing w:before="100" w:beforeAutospacing="1" w:after="100" w:afterAutospacing="1"/>
    </w:pPr>
  </w:style>
  <w:style w:type="paragraph" w:styleId="BalloonText">
    <w:name w:val="Balloon Text"/>
    <w:basedOn w:val="Normal"/>
    <w:link w:val="BalloonTextChar"/>
    <w:uiPriority w:val="99"/>
    <w:semiHidden/>
    <w:unhideWhenUsed/>
    <w:rsid w:val="00D12484"/>
    <w:rPr>
      <w:rFonts w:ascii="Tahoma" w:hAnsi="Tahoma" w:cs="Tahoma"/>
      <w:sz w:val="16"/>
      <w:szCs w:val="16"/>
    </w:rPr>
  </w:style>
  <w:style w:type="character" w:customStyle="1" w:styleId="BalloonTextChar">
    <w:name w:val="Balloon Text Char"/>
    <w:basedOn w:val="DefaultParagraphFont"/>
    <w:link w:val="BalloonText"/>
    <w:uiPriority w:val="99"/>
    <w:semiHidden/>
    <w:rsid w:val="00D1248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ontent.govdelivery.com/attachments/fancy_images/UKSCCTSSTAFF/2017/01/1171356/1205250/money_crop.jpg" TargetMode="External"/><Relationship Id="rId13"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2&amp;&amp;&amp;https://suffolknet.sharepoint.com/sites/myscc/IT/Pages/IT-security-policies.aspx" TargetMode="External"/><Relationship Id="rId18"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7&amp;&amp;&amp;https://www.cyberaware.gov.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10&amp;&amp;&amp;https://www.getsafeonline.org" TargetMode="External"/><Relationship Id="rId7" Type="http://schemas.openxmlformats.org/officeDocument/2006/relationships/image" Target="media/image1.jpeg"/><Relationship Id="rId12" Type="http://schemas.openxmlformats.org/officeDocument/2006/relationships/image" Target="http://content.govdelivery.com/attachments/fancy_images/UKSCCTSSTAFF/2017/01/1171383/1178240/cybersecurity_crop.jpg" TargetMode="External"/><Relationship Id="rId17"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6&amp;&amp;&amp;http://www.actionfraud.police.uk"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5&amp;&amp;&amp;http://www.actionfraud.police.uk" TargetMode="External"/><Relationship Id="rId20"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9&amp;&amp;&amp;https://www.cyberaware.gov.uk" TargetMode="External"/><Relationship Id="rId1" Type="http://schemas.openxmlformats.org/officeDocument/2006/relationships/numbering" Target="numbering.xml"/><Relationship Id="rId6" Type="http://schemas.openxmlformats.org/officeDocument/2006/relationships/image" Target="http://content.govdelivery.com/attachments/fancy_images/UKSCCTSSTAFF/2017/01/1171657/1205249/100-0951_crop.jpg" TargetMode="External"/><Relationship Id="rId11"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1&amp;&amp;&amp;http://www.actionfraud.police.uk/mandate-fraud" TargetMode="External"/><Relationship Id="rId24" Type="http://schemas.openxmlformats.org/officeDocument/2006/relationships/hyperlink" Target="mailto:peter.frost@suffolk.gov.uk" TargetMode="External"/><Relationship Id="rId5" Type="http://schemas.openxmlformats.org/officeDocument/2006/relationships/webSettings" Target="webSettings.xml"/><Relationship Id="rId15"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4&amp;&amp;&amp;http://www.actionfraud.police.uk" TargetMode="External"/><Relationship Id="rId23"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12&amp;&amp;&amp;https://www.getsafeonline.org" TargetMode="External"/><Relationship Id="rId10" Type="http://schemas.openxmlformats.org/officeDocument/2006/relationships/image" Target="http://content.govdelivery.com/attachments/fancy_images/UKSCCTSSTAFF/2017/01/1171368/1178239/mandate-fraud_crop.jpg" TargetMode="External"/><Relationship Id="rId19"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8&amp;&amp;&amp;https://www.cyberaware.gov.uk" TargetMode="External"/><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0&amp;&amp;&amp;https://www.suffolk.gov.uk/council-and-democracy/council-departments-services-and-senior-officers/resource-management/audit-services/" TargetMode="External"/><Relationship Id="rId14"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03&amp;&amp;&amp;https://suffolknet.sharepoint.com/sites/myscc/hr/Pages/my-learning.aspx" TargetMode="External"/><Relationship Id="rId22" Type="http://schemas.openxmlformats.org/officeDocument/2006/relationships/hyperlink" Target="http://links.govdelivery.com:80/track?type=click&amp;enid=ZWFzPTEmbWFpbGluZ2lkPTIwMTcwMjA4LjY5NzE0NzIxJm1lc3NhZ2VpZD1NREItUFJELUJVTC0yMDE3MDIwOC42OTcxNDcyMSZkYXRhYmFzZWlkPTEwMDEmc2VyaWFsPTE3MTM5MjMwJmVtYWlsaWQ9ZXh0ZXJuYWxnbG9iYWxzY2NlbWFpbHNAc3VmZm9say5nb3YudWsmdXNlcmlkPWV4dGVybmFsZ2xvYmFsc2NjZW1haWxzQHN1ZmZvbGsuZ292LnVrJmZsPSZleHRyYT1NdWx0aXZhcmlhdGVJZD0mJiY=&amp;&amp;&amp;111&amp;&amp;&amp;https://www.getsafeonlin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Quinton</dc:creator>
  <cp:lastModifiedBy>Michael Quinton</cp:lastModifiedBy>
  <cp:revision>1</cp:revision>
  <dcterms:created xsi:type="dcterms:W3CDTF">2017-02-08T12:08:00Z</dcterms:created>
  <dcterms:modified xsi:type="dcterms:W3CDTF">2017-02-08T12:11:00Z</dcterms:modified>
</cp:coreProperties>
</file>