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29E109AC" w14:textId="77777777" w:rsidR="007B3D09" w:rsidRDefault="007B3D09" w:rsidP="00A302F7">
      <w:pPr>
        <w:rPr>
          <w:rFonts w:ascii="Arial" w:hAnsi="Arial" w:cs="Arial"/>
          <w:color w:val="002060"/>
          <w:sz w:val="24"/>
          <w:szCs w:val="24"/>
        </w:rPr>
      </w:pPr>
    </w:p>
    <w:p w14:paraId="033ED30A" w14:textId="66D8E549" w:rsidR="00A302F7" w:rsidRPr="001A31F6" w:rsidRDefault="00A302F7" w:rsidP="00A302F7">
      <w:pPr>
        <w:rPr>
          <w:rFonts w:ascii="Arial" w:hAnsi="Arial" w:cs="Arial"/>
          <w:color w:val="002060"/>
          <w:sz w:val="24"/>
          <w:szCs w:val="24"/>
        </w:rPr>
      </w:pPr>
      <w:r w:rsidRPr="001A31F6">
        <w:rPr>
          <w:rFonts w:ascii="Arial" w:hAnsi="Arial" w:cs="Arial"/>
          <w:noProof/>
          <w:color w:val="002060"/>
        </w:rPr>
        <w:drawing>
          <wp:inline distT="0" distB="0" distL="0" distR="0" wp14:anchorId="0A3C6BDE" wp14:editId="2FA70E6B">
            <wp:extent cx="3448050" cy="1323975"/>
            <wp:effectExtent l="0" t="0" r="0" b="9525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CC30E" w14:textId="77777777" w:rsidR="00A302F7" w:rsidRPr="001A31F6" w:rsidRDefault="00A302F7" w:rsidP="00A302F7">
      <w:pPr>
        <w:rPr>
          <w:rFonts w:ascii="Arial" w:hAnsi="Arial" w:cs="Arial"/>
          <w:color w:val="002060"/>
          <w:sz w:val="24"/>
          <w:szCs w:val="24"/>
        </w:rPr>
      </w:pPr>
    </w:p>
    <w:p w14:paraId="36AFC2AB" w14:textId="351E18B0" w:rsidR="001A31F6" w:rsidRPr="00E70B04" w:rsidRDefault="00A302F7" w:rsidP="00E70B04">
      <w:pPr>
        <w:pStyle w:val="Title"/>
        <w:jc w:val="center"/>
        <w:rPr>
          <w:rFonts w:ascii="Arial" w:hAnsi="Arial" w:cs="Arial"/>
          <w:b/>
          <w:bCs/>
          <w:color w:val="002060"/>
          <w:sz w:val="40"/>
          <w:szCs w:val="40"/>
        </w:rPr>
      </w:pPr>
      <w:r w:rsidRPr="00E70B04">
        <w:rPr>
          <w:rFonts w:ascii="Arial" w:hAnsi="Arial" w:cs="Arial"/>
          <w:b/>
          <w:bCs/>
          <w:color w:val="002060"/>
          <w:sz w:val="40"/>
          <w:szCs w:val="40"/>
        </w:rPr>
        <w:t>Supporting Memory Systems at Home: Information for parents/carers</w:t>
      </w:r>
    </w:p>
    <w:p w14:paraId="5EA5D7ED" w14:textId="77777777" w:rsidR="001A31F6" w:rsidRPr="001A31F6" w:rsidRDefault="001A31F6" w:rsidP="001A31F6"/>
    <w:p w14:paraId="3188A571" w14:textId="1B599496" w:rsidR="00A302F7" w:rsidRPr="001A31F6" w:rsidRDefault="00A302F7" w:rsidP="00A302F7">
      <w:pPr>
        <w:rPr>
          <w:rFonts w:ascii="Arial" w:hAnsi="Arial" w:cs="Arial"/>
          <w:color w:val="002060"/>
          <w:sz w:val="24"/>
          <w:szCs w:val="24"/>
        </w:rPr>
      </w:pPr>
      <w:r w:rsidRPr="001A31F6">
        <w:rPr>
          <w:rFonts w:ascii="Arial" w:hAnsi="Arial" w:cs="Arial"/>
          <w:color w:val="002060"/>
          <w:sz w:val="24"/>
          <w:szCs w:val="24"/>
        </w:rPr>
        <w:t>Memory systems are important, not only in relation to academic learning but also for lots of life skills – remembering a shopping list, preparing a roast dinner and remembering passwords for a computer at work or online shopping!</w:t>
      </w:r>
    </w:p>
    <w:p w14:paraId="5BD7E5D2" w14:textId="3E6A69CF" w:rsidR="00A302F7" w:rsidRPr="00E70B04" w:rsidRDefault="00A302F7" w:rsidP="001A31F6">
      <w:pPr>
        <w:pStyle w:val="Heading1"/>
        <w:rPr>
          <w:rFonts w:ascii="Arial" w:hAnsi="Arial" w:cs="Arial"/>
          <w:b/>
          <w:bCs/>
          <w:color w:val="002060"/>
        </w:rPr>
      </w:pPr>
      <w:r w:rsidRPr="00E70B04">
        <w:rPr>
          <w:rFonts w:ascii="Arial" w:hAnsi="Arial" w:cs="Arial"/>
          <w:b/>
          <w:bCs/>
          <w:color w:val="002060"/>
        </w:rPr>
        <w:t>Different types of memory system</w:t>
      </w:r>
    </w:p>
    <w:p w14:paraId="17997369" w14:textId="77777777" w:rsidR="001A31F6" w:rsidRDefault="00A302F7" w:rsidP="00A302F7">
      <w:pPr>
        <w:rPr>
          <w:rFonts w:ascii="Arial" w:hAnsi="Arial" w:cs="Arial"/>
          <w:color w:val="002060"/>
          <w:sz w:val="24"/>
          <w:szCs w:val="24"/>
        </w:rPr>
      </w:pPr>
      <w:r w:rsidRPr="001A31F6">
        <w:rPr>
          <w:rFonts w:ascii="Arial" w:hAnsi="Arial" w:cs="Arial"/>
          <w:color w:val="002060"/>
          <w:sz w:val="24"/>
          <w:szCs w:val="24"/>
        </w:rPr>
        <w:t xml:space="preserve">We use our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short-term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memories to hold information for a few seconds – for example, to remember a phone-number or email address whilst writing it down or typing it into a phone. Where we then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use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or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apply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this short-term information – such as adding up a list of numbers or working out where we are in a set of instructions to determine which is the next step – we are using our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working memory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systems. </w:t>
      </w:r>
    </w:p>
    <w:p w14:paraId="25271398" w14:textId="77777777" w:rsidR="001A31F6" w:rsidRDefault="00A302F7" w:rsidP="00A302F7">
      <w:pPr>
        <w:rPr>
          <w:rFonts w:ascii="Arial" w:hAnsi="Arial" w:cs="Arial"/>
          <w:color w:val="002060"/>
          <w:sz w:val="24"/>
          <w:szCs w:val="24"/>
        </w:rPr>
      </w:pPr>
      <w:r w:rsidRPr="001A31F6">
        <w:rPr>
          <w:rFonts w:ascii="Arial" w:hAnsi="Arial" w:cs="Arial"/>
          <w:color w:val="002060"/>
          <w:sz w:val="24"/>
          <w:szCs w:val="24"/>
        </w:rPr>
        <w:t xml:space="preserve">Working memory is important as not only does it support our responses to information/instructions, but it also enables us to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focus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and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concentrate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our attention as well as organising how we arrange information and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transfer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it to the longer-term memory systems. </w:t>
      </w:r>
    </w:p>
    <w:p w14:paraId="6FC35DF1" w14:textId="79A69E01" w:rsidR="007327D6" w:rsidRDefault="00A302F7" w:rsidP="00A302F7">
      <w:pPr>
        <w:rPr>
          <w:rFonts w:ascii="Arial" w:hAnsi="Arial" w:cs="Arial"/>
          <w:color w:val="002060"/>
          <w:sz w:val="24"/>
          <w:szCs w:val="24"/>
        </w:rPr>
      </w:pPr>
      <w:r w:rsidRPr="001A31F6">
        <w:rPr>
          <w:rFonts w:ascii="Arial" w:hAnsi="Arial" w:cs="Arial"/>
          <w:color w:val="002060"/>
          <w:sz w:val="24"/>
          <w:szCs w:val="24"/>
        </w:rPr>
        <w:t xml:space="preserve">About 10% of people have difficulties with working memory; this figure is much higher for people with specific learning differences such as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Dyslexia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, Dyspraxia or ADHD. </w:t>
      </w:r>
    </w:p>
    <w:p w14:paraId="688E8D35" w14:textId="44CE6800" w:rsidR="007327D6" w:rsidRDefault="00A302F7" w:rsidP="00A302F7">
      <w:pPr>
        <w:rPr>
          <w:rFonts w:ascii="Arial" w:hAnsi="Arial" w:cs="Arial"/>
          <w:color w:val="002060"/>
          <w:sz w:val="24"/>
          <w:szCs w:val="24"/>
        </w:rPr>
      </w:pPr>
      <w:r w:rsidRPr="001A31F6">
        <w:rPr>
          <w:rFonts w:ascii="Arial" w:hAnsi="Arial" w:cs="Arial"/>
          <w:color w:val="002060"/>
          <w:sz w:val="24"/>
          <w:szCs w:val="24"/>
        </w:rPr>
        <w:t xml:space="preserve">Typically, a person with Dyslexia is likely to find it harder to retain and respond to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verbal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input such as speech.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Visual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input is often easier for them to retain and can work well to </w:t>
      </w:r>
      <w:r w:rsidRPr="001A31F6">
        <w:rPr>
          <w:rFonts w:ascii="Arial" w:hAnsi="Arial" w:cs="Arial"/>
          <w:b/>
          <w:bCs/>
          <w:color w:val="002060"/>
          <w:sz w:val="24"/>
          <w:szCs w:val="24"/>
        </w:rPr>
        <w:t>support</w:t>
      </w:r>
      <w:r w:rsidRPr="001A31F6">
        <w:rPr>
          <w:rFonts w:ascii="Arial" w:hAnsi="Arial" w:cs="Arial"/>
          <w:color w:val="002060"/>
          <w:sz w:val="24"/>
          <w:szCs w:val="24"/>
        </w:rPr>
        <w:t xml:space="preserve"> verbal input. In other words, it’s helpful to support learners with something to look at to remind them of what they’ve heard.</w:t>
      </w:r>
      <w:r w:rsidR="007327D6">
        <w:rPr>
          <w:noProof/>
        </w:rPr>
        <w:drawing>
          <wp:inline distT="0" distB="0" distL="0" distR="0" wp14:anchorId="36D1D733" wp14:editId="2B399279">
            <wp:extent cx="833731" cy="833731"/>
            <wp:effectExtent l="0" t="0" r="5080" b="5080"/>
            <wp:docPr id="8" name="Picture 7" descr="ear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ear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31" cy="83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27D6">
        <w:rPr>
          <w:noProof/>
        </w:rPr>
        <w:drawing>
          <wp:inline distT="0" distB="0" distL="0" distR="0" wp14:anchorId="7BCD37F6" wp14:editId="5AB508B8">
            <wp:extent cx="1010962" cy="567125"/>
            <wp:effectExtent l="0" t="0" r="0" b="4445"/>
            <wp:docPr id="6" name="Picture 5" descr="Eyes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Eyes Free Stock Photo - Public Domain Picture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62" cy="5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AE94" w14:textId="77777777" w:rsidR="007327D6" w:rsidRDefault="007327D6" w:rsidP="00A302F7">
      <w:pPr>
        <w:rPr>
          <w:rFonts w:ascii="Arial" w:hAnsi="Arial" w:cs="Arial"/>
          <w:color w:val="002060"/>
          <w:sz w:val="24"/>
          <w:szCs w:val="24"/>
        </w:rPr>
      </w:pPr>
    </w:p>
    <w:p w14:paraId="6A80B627" w14:textId="77777777" w:rsidR="007B3D09" w:rsidRDefault="007B3D09" w:rsidP="00A302F7">
      <w:pPr>
        <w:rPr>
          <w:rFonts w:ascii="Arial" w:hAnsi="Arial" w:cs="Arial"/>
          <w:color w:val="002060"/>
          <w:sz w:val="24"/>
          <w:szCs w:val="24"/>
        </w:rPr>
      </w:pPr>
    </w:p>
    <w:p w14:paraId="04CEB475" w14:textId="799BD67F" w:rsidR="00A302F7" w:rsidRDefault="007327D6" w:rsidP="00A302F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W</w:t>
      </w:r>
      <w:r w:rsidR="00A302F7" w:rsidRPr="001A31F6">
        <w:rPr>
          <w:rFonts w:ascii="Arial" w:hAnsi="Arial" w:cs="Arial"/>
          <w:color w:val="002060"/>
          <w:sz w:val="24"/>
          <w:szCs w:val="24"/>
        </w:rPr>
        <w:t xml:space="preserve">orking memory systems are sometimes described as the </w:t>
      </w:r>
      <w:r w:rsidR="00A302F7" w:rsidRPr="001A31F6">
        <w:rPr>
          <w:rFonts w:ascii="Arial" w:hAnsi="Arial" w:cs="Arial"/>
          <w:b/>
          <w:bCs/>
          <w:color w:val="002060"/>
          <w:sz w:val="24"/>
          <w:szCs w:val="24"/>
        </w:rPr>
        <w:t>‘post-it’ notes</w:t>
      </w:r>
      <w:r w:rsidR="00A302F7" w:rsidRPr="001A31F6">
        <w:rPr>
          <w:rFonts w:ascii="Arial" w:hAnsi="Arial" w:cs="Arial"/>
          <w:color w:val="002060"/>
          <w:sz w:val="24"/>
          <w:szCs w:val="24"/>
        </w:rPr>
        <w:t xml:space="preserve"> used by the brain – only a little information can be recorded and it’s only for a few seconds. The amount of information varies from person to person and also within the individual at different times/in different circumstances.</w:t>
      </w:r>
    </w:p>
    <w:p w14:paraId="19AE43EC" w14:textId="5E26FBD7" w:rsidR="001A31F6" w:rsidRDefault="007327D6" w:rsidP="00A302F7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noProof/>
          <w:color w:val="002060"/>
        </w:rPr>
        <w:drawing>
          <wp:inline distT="0" distB="0" distL="0" distR="0" wp14:anchorId="18984033" wp14:editId="025E6E4E">
            <wp:extent cx="2619375" cy="1743075"/>
            <wp:effectExtent l="0" t="0" r="9525" b="9525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0FEA" w14:textId="2FA6CFD4" w:rsidR="00A302F7" w:rsidRPr="00E70B04" w:rsidRDefault="00A302F7" w:rsidP="001A31F6">
      <w:pPr>
        <w:pStyle w:val="Heading1"/>
        <w:rPr>
          <w:rFonts w:ascii="Arial" w:hAnsi="Arial" w:cs="Arial"/>
          <w:b/>
          <w:bCs/>
          <w:color w:val="002060"/>
        </w:rPr>
      </w:pPr>
      <w:r w:rsidRPr="00E70B04">
        <w:rPr>
          <w:rFonts w:ascii="Arial" w:hAnsi="Arial" w:cs="Arial"/>
          <w:b/>
          <w:bCs/>
          <w:color w:val="002060"/>
        </w:rPr>
        <w:t>Ideas for supporting memory systems</w:t>
      </w:r>
    </w:p>
    <w:p w14:paraId="07EE1B39" w14:textId="77777777" w:rsidR="007327D6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572863">
        <w:rPr>
          <w:color w:val="002060"/>
        </w:rPr>
        <w:t xml:space="preserve">Remember – post-it notes are small, so only give </w:t>
      </w:r>
      <w:r w:rsidRPr="006636EE">
        <w:rPr>
          <w:b/>
          <w:bCs/>
          <w:color w:val="002060"/>
        </w:rPr>
        <w:t>small chunks</w:t>
      </w:r>
      <w:r w:rsidRPr="006636EE">
        <w:rPr>
          <w:color w:val="002060"/>
        </w:rPr>
        <w:t xml:space="preserve"> </w:t>
      </w:r>
      <w:r w:rsidRPr="00572863">
        <w:rPr>
          <w:color w:val="002060"/>
        </w:rPr>
        <w:t xml:space="preserve">of information/instructions at a time. </w:t>
      </w:r>
    </w:p>
    <w:p w14:paraId="40D5CFE3" w14:textId="087F3EA2" w:rsidR="001A31F6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572863">
        <w:rPr>
          <w:color w:val="002060"/>
        </w:rPr>
        <w:t xml:space="preserve">Post-it notes can easily get lost, so be prepared to give a </w:t>
      </w:r>
      <w:r w:rsidRPr="006636EE">
        <w:rPr>
          <w:b/>
          <w:bCs/>
          <w:color w:val="002060"/>
        </w:rPr>
        <w:t>reminder</w:t>
      </w:r>
      <w:r w:rsidRPr="00572863">
        <w:rPr>
          <w:color w:val="002060"/>
        </w:rPr>
        <w:t xml:space="preserve"> of information/instructions – your child doesn’t choose to forget. </w:t>
      </w:r>
    </w:p>
    <w:p w14:paraId="13208054" w14:textId="77777777" w:rsidR="009B664E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572863">
        <w:rPr>
          <w:color w:val="002060"/>
        </w:rPr>
        <w:t xml:space="preserve">Keep instructions </w:t>
      </w:r>
      <w:r w:rsidRPr="006636EE">
        <w:rPr>
          <w:b/>
          <w:bCs/>
          <w:color w:val="002060"/>
        </w:rPr>
        <w:t>short</w:t>
      </w:r>
      <w:r w:rsidRPr="00572863">
        <w:rPr>
          <w:color w:val="002060"/>
        </w:rPr>
        <w:t xml:space="preserve"> and </w:t>
      </w:r>
      <w:r w:rsidRPr="006636EE">
        <w:rPr>
          <w:b/>
          <w:bCs/>
          <w:color w:val="002060"/>
        </w:rPr>
        <w:t>simple</w:t>
      </w:r>
      <w:r w:rsidRPr="00572863">
        <w:rPr>
          <w:color w:val="002060"/>
        </w:rPr>
        <w:t xml:space="preserve"> so that your child has less content to retain and process. </w:t>
      </w:r>
    </w:p>
    <w:p w14:paraId="0905E1B2" w14:textId="77777777" w:rsidR="009B664E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572863">
        <w:rPr>
          <w:color w:val="002060"/>
        </w:rPr>
        <w:t xml:space="preserve">Ask your child to </w:t>
      </w:r>
      <w:r w:rsidRPr="006636EE">
        <w:rPr>
          <w:b/>
          <w:bCs/>
          <w:color w:val="002060"/>
        </w:rPr>
        <w:t>repeat</w:t>
      </w:r>
      <w:r w:rsidRPr="00572863">
        <w:rPr>
          <w:color w:val="002060"/>
        </w:rPr>
        <w:t xml:space="preserve"> these short, simple instructions back to you – this builds in an additional reminder and enables you to check what your child thinks that you’ve just said…</w:t>
      </w:r>
    </w:p>
    <w:p w14:paraId="2D7FBBFA" w14:textId="05DC1769" w:rsidR="00A302F7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b/>
          <w:bCs/>
          <w:color w:val="002060"/>
        </w:rPr>
        <w:t>Making connections</w:t>
      </w:r>
      <w:r w:rsidRPr="00572863">
        <w:rPr>
          <w:color w:val="002060"/>
        </w:rPr>
        <w:t xml:space="preserve"> to other learning and experiences helps with storing new learning tidily in the brain where it can be found and used again. So, if you’re looking at a literacy task with your child, remind them what they worked on last.</w:t>
      </w:r>
    </w:p>
    <w:p w14:paraId="3768AD4D" w14:textId="77777777" w:rsidR="009B664E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572863">
        <w:rPr>
          <w:color w:val="002060"/>
        </w:rPr>
        <w:t xml:space="preserve">Make it </w:t>
      </w:r>
      <w:r w:rsidRPr="006636EE">
        <w:rPr>
          <w:b/>
          <w:bCs/>
          <w:color w:val="002060"/>
        </w:rPr>
        <w:t>memorable</w:t>
      </w:r>
      <w:r w:rsidRPr="00572863">
        <w:rPr>
          <w:color w:val="002060"/>
        </w:rPr>
        <w:t xml:space="preserve">! Humour is great for boosting the memory so make a funny story including the items on a shopping list or the order of tasks for getting ready for bed. Sets of instructions can have a rhythm added for emphasis – you could add a melody if you’re feeling creative! </w:t>
      </w:r>
    </w:p>
    <w:p w14:paraId="6C5904B6" w14:textId="77777777" w:rsidR="009B664E" w:rsidRPr="00572863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572863">
        <w:rPr>
          <w:color w:val="002060"/>
        </w:rPr>
        <w:t xml:space="preserve">Make it </w:t>
      </w:r>
      <w:r w:rsidRPr="006636EE">
        <w:rPr>
          <w:b/>
          <w:bCs/>
          <w:color w:val="002060"/>
        </w:rPr>
        <w:t>personal</w:t>
      </w:r>
      <w:r w:rsidRPr="00572863">
        <w:rPr>
          <w:color w:val="002060"/>
        </w:rPr>
        <w:t>! Linking to other memories/experiences is a great way to cement learning, so encourage your child to make connections to people/places/events that have meaning for them. For example, when working on the ‘</w:t>
      </w:r>
      <w:proofErr w:type="spellStart"/>
      <w:r w:rsidRPr="00572863">
        <w:rPr>
          <w:color w:val="002060"/>
        </w:rPr>
        <w:t>ea</w:t>
      </w:r>
      <w:proofErr w:type="spellEnd"/>
      <w:r w:rsidRPr="00572863">
        <w:rPr>
          <w:color w:val="002060"/>
        </w:rPr>
        <w:t xml:space="preserve">’ in words like ‘beach’ refer back to a trip to the beach. </w:t>
      </w:r>
    </w:p>
    <w:p w14:paraId="4AB9B8DE" w14:textId="1C6C505E" w:rsidR="00A302F7" w:rsidRPr="006636EE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color w:val="002060"/>
        </w:rPr>
        <w:t xml:space="preserve">If your child is working on reading/spelling specific words, encourage them to use different </w:t>
      </w:r>
      <w:r w:rsidRPr="006636EE">
        <w:rPr>
          <w:b/>
          <w:bCs/>
          <w:color w:val="002060"/>
        </w:rPr>
        <w:t>colours</w:t>
      </w:r>
      <w:r w:rsidRPr="006636EE">
        <w:rPr>
          <w:color w:val="002060"/>
        </w:rPr>
        <w:t xml:space="preserve"> to pick out and reinforce different sections – perhaps the tricky bit, or a ‘silent letter’ that keeps being forgotten (thum</w:t>
      </w:r>
      <w:r w:rsidRPr="006636EE">
        <w:rPr>
          <w:b/>
          <w:bCs/>
          <w:color w:val="002060"/>
        </w:rPr>
        <w:t>b</w:t>
      </w:r>
      <w:r w:rsidRPr="006636EE">
        <w:rPr>
          <w:color w:val="002060"/>
        </w:rPr>
        <w:t>), or one colour for verbs (doing words) and another for nouns (objects, people and places).</w:t>
      </w:r>
    </w:p>
    <w:p w14:paraId="774A0E4B" w14:textId="77777777" w:rsidR="00E70B04" w:rsidRDefault="00E70B04" w:rsidP="009B664E">
      <w:pPr>
        <w:pStyle w:val="Heading1"/>
        <w:rPr>
          <w:rFonts w:ascii="Arial" w:hAnsi="Arial" w:cs="Arial"/>
          <w:b/>
          <w:bCs/>
          <w:color w:val="002060"/>
        </w:rPr>
      </w:pPr>
    </w:p>
    <w:p w14:paraId="2BF24C4F" w14:textId="7C62D9CA" w:rsidR="009B664E" w:rsidRPr="00E70B04" w:rsidRDefault="009B664E" w:rsidP="009B664E">
      <w:pPr>
        <w:pStyle w:val="Heading1"/>
        <w:rPr>
          <w:rFonts w:ascii="Arial" w:hAnsi="Arial" w:cs="Arial"/>
          <w:b/>
          <w:bCs/>
          <w:color w:val="002060"/>
        </w:rPr>
      </w:pPr>
      <w:r w:rsidRPr="00E70B04">
        <w:rPr>
          <w:rFonts w:ascii="Arial" w:hAnsi="Arial" w:cs="Arial"/>
          <w:b/>
          <w:bCs/>
          <w:color w:val="002060"/>
        </w:rPr>
        <w:t>More ideas for supporting memory systems</w:t>
      </w:r>
    </w:p>
    <w:p w14:paraId="06FFD6A1" w14:textId="77777777" w:rsidR="009B664E" w:rsidRPr="006636EE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b/>
          <w:bCs/>
          <w:color w:val="002060"/>
        </w:rPr>
        <w:t>Applying</w:t>
      </w:r>
      <w:r w:rsidRPr="006636EE">
        <w:rPr>
          <w:color w:val="002060"/>
        </w:rPr>
        <w:t xml:space="preserve"> a new piece of information/learning helps us to store and find that new learning again another time, so try to put new learning to work – spotting a word/letter pattern in a book, an advert on TV, a WhatsApp message from Grandma and so on. </w:t>
      </w:r>
    </w:p>
    <w:p w14:paraId="4CB2DCE9" w14:textId="77777777" w:rsidR="009B664E" w:rsidRPr="006636EE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color w:val="002060"/>
        </w:rPr>
        <w:t xml:space="preserve">It’s helpful to </w:t>
      </w:r>
      <w:r w:rsidRPr="006636EE">
        <w:rPr>
          <w:b/>
          <w:bCs/>
          <w:color w:val="002060"/>
        </w:rPr>
        <w:t>‘check in’</w:t>
      </w:r>
      <w:r w:rsidRPr="006636EE">
        <w:rPr>
          <w:color w:val="002060"/>
        </w:rPr>
        <w:t xml:space="preserve"> with your child if they are trying to remember or work on a set of instructions – so ask them, “What do you need to do now?” – this is useful for errands around the house as well as work-based tasks. </w:t>
      </w:r>
    </w:p>
    <w:p w14:paraId="77E8DD78" w14:textId="77777777" w:rsidR="009B664E" w:rsidRPr="006636EE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color w:val="002060"/>
        </w:rPr>
        <w:t xml:space="preserve">Add something </w:t>
      </w:r>
      <w:r w:rsidRPr="006636EE">
        <w:rPr>
          <w:b/>
          <w:bCs/>
          <w:color w:val="002060"/>
        </w:rPr>
        <w:t>kinaesthetic</w:t>
      </w:r>
      <w:r w:rsidRPr="006636EE">
        <w:rPr>
          <w:color w:val="002060"/>
        </w:rPr>
        <w:t xml:space="preserve"> (to do with movement or touch) to reinforce sets of instructions – so for a 3-part set of instructions, encourage your child to touch a finger (or fold a finger down) for each instruction so that there is a physical connection to each part of the input. </w:t>
      </w:r>
    </w:p>
    <w:p w14:paraId="25821BE0" w14:textId="786C3F95" w:rsidR="00A302F7" w:rsidRPr="006636EE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color w:val="002060"/>
        </w:rPr>
        <w:t xml:space="preserve">Be aware that everyone finds it more difficult to use their memory systems efficiently when they are feeling </w:t>
      </w:r>
      <w:r w:rsidRPr="006636EE">
        <w:rPr>
          <w:b/>
          <w:bCs/>
          <w:color w:val="002060"/>
        </w:rPr>
        <w:t>stressed</w:t>
      </w:r>
      <w:r w:rsidRPr="006636EE">
        <w:rPr>
          <w:color w:val="002060"/>
        </w:rPr>
        <w:t xml:space="preserve"> and/or </w:t>
      </w:r>
      <w:r w:rsidRPr="006636EE">
        <w:rPr>
          <w:b/>
          <w:bCs/>
          <w:color w:val="002060"/>
        </w:rPr>
        <w:t>tired</w:t>
      </w:r>
      <w:r w:rsidRPr="006636EE">
        <w:rPr>
          <w:color w:val="002060"/>
        </w:rPr>
        <w:t>, so break things down even more and build in extra reminders.</w:t>
      </w:r>
    </w:p>
    <w:p w14:paraId="5ACF2821" w14:textId="77777777" w:rsidR="00572863" w:rsidRPr="00E70B04" w:rsidRDefault="00572863" w:rsidP="00E70B04">
      <w:pPr>
        <w:ind w:left="1058"/>
        <w:rPr>
          <w:color w:val="002060"/>
        </w:rPr>
      </w:pPr>
      <w:r w:rsidRPr="006636EE">
        <w:rPr>
          <w:noProof/>
        </w:rPr>
        <w:drawing>
          <wp:inline distT="0" distB="0" distL="0" distR="0" wp14:anchorId="20B6EED9" wp14:editId="6E35B575">
            <wp:extent cx="1733550" cy="1107733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756" cy="11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E0EB9" w14:textId="5E3454A7" w:rsidR="009B664E" w:rsidRPr="006636EE" w:rsidRDefault="00572863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color w:val="002060"/>
        </w:rPr>
        <w:t>Y</w:t>
      </w:r>
      <w:r w:rsidR="00A302F7" w:rsidRPr="006636EE">
        <w:rPr>
          <w:color w:val="002060"/>
        </w:rPr>
        <w:t xml:space="preserve">ou can play </w:t>
      </w:r>
      <w:r w:rsidR="00A302F7" w:rsidRPr="006636EE">
        <w:rPr>
          <w:b/>
          <w:bCs/>
          <w:color w:val="002060"/>
        </w:rPr>
        <w:t>games</w:t>
      </w:r>
      <w:r w:rsidR="00A302F7" w:rsidRPr="006636EE">
        <w:rPr>
          <w:color w:val="002060"/>
        </w:rPr>
        <w:t xml:space="preserve"> to encourage good use of the memory – Kim’s Game (child looks at objects on a tray, adult secretly takes one away for child to work out) or shopping list type games – “I went to the shops and I bought……” to build up retaining and repeating sequences of information. The shopping list game can be ‘modernised’ or adapted to suit the individual – perhaps, “I went to [name of favourite clothes shop] and I bought….” or even shopping for football teams or players! </w:t>
      </w:r>
    </w:p>
    <w:p w14:paraId="43616547" w14:textId="77777777" w:rsidR="00E70B04" w:rsidRPr="00E70B04" w:rsidRDefault="00572863" w:rsidP="00E70B04">
      <w:pPr>
        <w:ind w:left="1058"/>
        <w:rPr>
          <w:color w:val="002060"/>
        </w:rPr>
      </w:pPr>
      <w:r w:rsidRPr="006636EE">
        <w:rPr>
          <w:noProof/>
        </w:rPr>
        <w:drawing>
          <wp:inline distT="0" distB="0" distL="0" distR="0" wp14:anchorId="7E750B5E" wp14:editId="03F11768">
            <wp:extent cx="1085850" cy="867410"/>
            <wp:effectExtent l="0" t="0" r="0" b="8890"/>
            <wp:docPr id="5" name="Picture 5" descr="53 Cartoon Brain Lifting Weights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3 Cartoon Brain Lifting Weights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73BF" w14:textId="0A77354E" w:rsidR="00A302F7" w:rsidRPr="006636EE" w:rsidRDefault="00A302F7" w:rsidP="006636EE">
      <w:pPr>
        <w:pStyle w:val="ListParagraph"/>
        <w:numPr>
          <w:ilvl w:val="0"/>
          <w:numId w:val="4"/>
        </w:numPr>
        <w:ind w:left="1134" w:hanging="76"/>
        <w:rPr>
          <w:color w:val="002060"/>
        </w:rPr>
      </w:pPr>
      <w:r w:rsidRPr="006636EE">
        <w:rPr>
          <w:color w:val="002060"/>
        </w:rPr>
        <w:t xml:space="preserve">Enjoy giving your own memory a </w:t>
      </w:r>
      <w:r w:rsidRPr="006636EE">
        <w:rPr>
          <w:b/>
          <w:bCs/>
          <w:color w:val="002060"/>
        </w:rPr>
        <w:t>work</w:t>
      </w:r>
      <w:r w:rsidR="009B664E" w:rsidRPr="006636EE">
        <w:rPr>
          <w:b/>
          <w:bCs/>
          <w:color w:val="002060"/>
        </w:rPr>
        <w:t>-</w:t>
      </w:r>
      <w:r w:rsidRPr="006636EE">
        <w:rPr>
          <w:b/>
          <w:bCs/>
          <w:color w:val="002060"/>
        </w:rPr>
        <w:t>out</w:t>
      </w:r>
      <w:r w:rsidRPr="006636EE">
        <w:rPr>
          <w:color w:val="002060"/>
        </w:rPr>
        <w:t xml:space="preserve">! </w:t>
      </w:r>
      <w:r w:rsidR="009B664E" w:rsidRPr="006636EE">
        <w:rPr>
          <w:color w:val="002060"/>
        </w:rPr>
        <w:t xml:space="preserve"> </w:t>
      </w:r>
      <w:r w:rsidRPr="006636EE">
        <w:rPr>
          <w:color w:val="002060"/>
        </w:rPr>
        <w:t>Do you use strategies to support your memory systems? Compare notes with your child – this encourages thinking about how to focus on memory skills and establishing what are effective strategies.</w:t>
      </w:r>
    </w:p>
    <w:sectPr w:rsidR="00A302F7" w:rsidRPr="006636E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5180" w14:textId="77777777" w:rsidR="00E70B04" w:rsidRDefault="00E70B04" w:rsidP="00E70B04">
      <w:pPr>
        <w:spacing w:after="0" w:line="240" w:lineRule="auto"/>
      </w:pPr>
      <w:r>
        <w:separator/>
      </w:r>
    </w:p>
  </w:endnote>
  <w:endnote w:type="continuationSeparator" w:id="0">
    <w:p w14:paraId="7E9FF95B" w14:textId="77777777" w:rsidR="00E70B04" w:rsidRDefault="00E70B04" w:rsidP="00E7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6281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DF1D55" w14:textId="761F7929" w:rsidR="00E70B04" w:rsidRDefault="00E70B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8C023" w14:textId="77777777" w:rsidR="00E70B04" w:rsidRDefault="00E70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F0BC" w14:textId="77777777" w:rsidR="00E70B04" w:rsidRDefault="00E70B04" w:rsidP="00E70B04">
      <w:pPr>
        <w:spacing w:after="0" w:line="240" w:lineRule="auto"/>
      </w:pPr>
      <w:r>
        <w:separator/>
      </w:r>
    </w:p>
  </w:footnote>
  <w:footnote w:type="continuationSeparator" w:id="0">
    <w:p w14:paraId="1034429E" w14:textId="77777777" w:rsidR="00E70B04" w:rsidRDefault="00E70B04" w:rsidP="00E7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6694" w14:textId="14C82F05" w:rsidR="00E70B04" w:rsidRPr="00E70B04" w:rsidRDefault="0062283B">
    <w:pPr>
      <w:pStyle w:val="Header"/>
      <w:rPr>
        <w:rFonts w:ascii="Arial" w:hAnsi="Arial" w:cs="Arial"/>
        <w:b/>
        <w:bCs/>
        <w:color w:val="002060"/>
        <w:sz w:val="24"/>
        <w:szCs w:val="24"/>
      </w:rPr>
    </w:pPr>
    <w:r>
      <w:rPr>
        <w:noProof/>
      </w:rPr>
      <w:drawing>
        <wp:inline distT="0" distB="0" distL="0" distR="0" wp14:anchorId="0FD5FFBA" wp14:editId="781D3D5E">
          <wp:extent cx="1219200" cy="457234"/>
          <wp:effectExtent l="0" t="0" r="0" b="0"/>
          <wp:docPr id="1" name="Picture 1" descr="SpLD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pLD Logo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69" cy="474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3D09">
      <w:rPr>
        <w:noProof/>
      </w:rPr>
      <w:drawing>
        <wp:inline distT="0" distB="0" distL="0" distR="0" wp14:anchorId="5EC08DA2" wp14:editId="650D2D56">
          <wp:extent cx="600075" cy="600075"/>
          <wp:effectExtent l="0" t="0" r="9525" b="9525"/>
          <wp:docPr id="7" name="Picture 7" descr="SES logo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ES logo&#10;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0B04">
      <w:tab/>
    </w:r>
    <w:r w:rsidR="00E70B04">
      <w:tab/>
    </w:r>
    <w:r w:rsidR="00E70B04" w:rsidRPr="00E70B04">
      <w:rPr>
        <w:rFonts w:ascii="Arial" w:hAnsi="Arial" w:cs="Arial"/>
        <w:b/>
        <w:bCs/>
        <w:color w:val="002060"/>
        <w:sz w:val="24"/>
        <w:szCs w:val="24"/>
      </w:rPr>
      <w:t>Issue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718D"/>
    <w:multiLevelType w:val="hybridMultilevel"/>
    <w:tmpl w:val="66564670"/>
    <w:lvl w:ilvl="0" w:tplc="BDF010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2678"/>
    <w:multiLevelType w:val="hybridMultilevel"/>
    <w:tmpl w:val="06CC2B8C"/>
    <w:lvl w:ilvl="0" w:tplc="0809000B">
      <w:start w:val="1"/>
      <w:numFmt w:val="bullet"/>
      <w:lvlText w:val=""/>
      <w:lvlJc w:val="left"/>
      <w:pPr>
        <w:ind w:left="3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A266A"/>
    <w:multiLevelType w:val="hybridMultilevel"/>
    <w:tmpl w:val="7AF8FC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329D4"/>
    <w:multiLevelType w:val="hybridMultilevel"/>
    <w:tmpl w:val="B772283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F7"/>
    <w:rsid w:val="001A31F6"/>
    <w:rsid w:val="004704CF"/>
    <w:rsid w:val="00572863"/>
    <w:rsid w:val="0062283B"/>
    <w:rsid w:val="006636EE"/>
    <w:rsid w:val="007327D6"/>
    <w:rsid w:val="007B3D09"/>
    <w:rsid w:val="009B664E"/>
    <w:rsid w:val="00A302F7"/>
    <w:rsid w:val="00C92FAD"/>
    <w:rsid w:val="00E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40BCFDA8"/>
  <w15:chartTrackingRefBased/>
  <w15:docId w15:val="{30E0505B-1ED3-4BF5-A519-BA887A5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1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2F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31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1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A3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31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2863"/>
    <w:pPr>
      <w:ind w:left="720"/>
      <w:contextualSpacing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7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B04"/>
  </w:style>
  <w:style w:type="paragraph" w:styleId="Footer">
    <w:name w:val="footer"/>
    <w:basedOn w:val="Normal"/>
    <w:link w:val="FooterChar"/>
    <w:uiPriority w:val="99"/>
    <w:unhideWhenUsed/>
    <w:rsid w:val="00E70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Sidoli</dc:creator>
  <cp:keywords/>
  <dc:description/>
  <cp:lastModifiedBy>Sandra Sidoli</cp:lastModifiedBy>
  <cp:revision>5</cp:revision>
  <dcterms:created xsi:type="dcterms:W3CDTF">2021-06-18T08:12:00Z</dcterms:created>
  <dcterms:modified xsi:type="dcterms:W3CDTF">2021-07-27T14:00:00Z</dcterms:modified>
</cp:coreProperties>
</file>