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4C87" w14:textId="77777777" w:rsidR="00F4199A" w:rsidRDefault="00F4199A" w:rsidP="004D295D">
      <w:pPr>
        <w:rPr>
          <w:rFonts w:ascii="Arial" w:hAnsi="Arial" w:cs="Arial"/>
          <w:b/>
          <w:sz w:val="30"/>
          <w:szCs w:val="30"/>
          <w:u w:val="single"/>
          <w:lang w:val="en-US"/>
        </w:rPr>
      </w:pPr>
      <w:r w:rsidRPr="004D295D">
        <w:rPr>
          <w:rFonts w:ascii="Arial" w:hAnsi="Arial" w:cs="Arial"/>
          <w:b/>
          <w:sz w:val="30"/>
          <w:szCs w:val="30"/>
          <w:u w:val="single"/>
          <w:lang w:val="en-US"/>
        </w:rPr>
        <w:t xml:space="preserve">CASHFLOW ADVANCE </w:t>
      </w:r>
      <w:r w:rsidR="00C6251F">
        <w:rPr>
          <w:rFonts w:ascii="Arial" w:hAnsi="Arial" w:cs="Arial"/>
          <w:b/>
          <w:sz w:val="30"/>
          <w:szCs w:val="30"/>
          <w:u w:val="single"/>
          <w:lang w:val="en-US"/>
        </w:rPr>
        <w:t xml:space="preserve">LOAN </w:t>
      </w:r>
      <w:r w:rsidRPr="004D295D">
        <w:rPr>
          <w:rFonts w:ascii="Arial" w:hAnsi="Arial" w:cs="Arial"/>
          <w:b/>
          <w:sz w:val="30"/>
          <w:szCs w:val="30"/>
          <w:u w:val="single"/>
          <w:lang w:val="en-US"/>
        </w:rPr>
        <w:t>APPLICATION FORM</w:t>
      </w:r>
    </w:p>
    <w:p w14:paraId="1431C4BE" w14:textId="77777777" w:rsidR="00C6251F" w:rsidRPr="00CA601F" w:rsidRDefault="00C6251F" w:rsidP="004D295D">
      <w:pPr>
        <w:rPr>
          <w:rFonts w:ascii="Arial" w:hAnsi="Arial" w:cs="Arial"/>
          <w:lang w:val="en-US"/>
        </w:rPr>
      </w:pPr>
      <w:r w:rsidRPr="00CA601F">
        <w:rPr>
          <w:rFonts w:ascii="Arial" w:hAnsi="Arial" w:cs="Arial"/>
          <w:lang w:val="en-US"/>
        </w:rPr>
        <w:t>For Suffolk Maintained Schools and PRUs</w:t>
      </w:r>
    </w:p>
    <w:p w14:paraId="54555D80" w14:textId="77777777" w:rsidR="00F4199A" w:rsidRPr="00944B0C" w:rsidRDefault="00F4199A" w:rsidP="004D295D">
      <w:pPr>
        <w:tabs>
          <w:tab w:val="left" w:pos="6804"/>
          <w:tab w:val="left" w:pos="6946"/>
        </w:tabs>
        <w:rPr>
          <w:rFonts w:ascii="Arial" w:hAnsi="Arial" w:cs="Arial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50"/>
        <w:gridCol w:w="4253"/>
      </w:tblGrid>
      <w:tr w:rsidR="00F4199A" w:rsidRPr="004516C0" w14:paraId="34CF95FE" w14:textId="77777777" w:rsidTr="004F057F">
        <w:trPr>
          <w:trHeight w:val="468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0E558" w14:textId="77777777" w:rsidR="00F4199A" w:rsidRPr="004516C0" w:rsidRDefault="00F4199A" w:rsidP="00C6251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516C0">
              <w:rPr>
                <w:rFonts w:ascii="Arial" w:hAnsi="Arial" w:cs="Arial"/>
                <w:b/>
                <w:sz w:val="22"/>
                <w:szCs w:val="22"/>
                <w:lang w:val="en-US"/>
              </w:rPr>
              <w:t>SCHOOL N</w:t>
            </w:r>
            <w:r w:rsidR="00C6251F">
              <w:rPr>
                <w:rFonts w:ascii="Arial" w:hAnsi="Arial" w:cs="Arial"/>
                <w:b/>
                <w:sz w:val="22"/>
                <w:szCs w:val="22"/>
                <w:lang w:val="en-US"/>
              </w:rPr>
              <w:t>AME</w:t>
            </w:r>
            <w:r w:rsidRPr="004516C0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9B45BF" w14:textId="77777777" w:rsidR="00F4199A" w:rsidRPr="004F057F" w:rsidRDefault="00F4199A" w:rsidP="004F057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4199A" w:rsidRPr="004516C0" w14:paraId="2DD36E92" w14:textId="77777777" w:rsidTr="004F057F">
        <w:trPr>
          <w:gridAfter w:val="1"/>
          <w:wAfter w:w="4253" w:type="dxa"/>
          <w:trHeight w:val="517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9F071" w14:textId="77777777" w:rsidR="00F4199A" w:rsidRPr="004516C0" w:rsidRDefault="00F4199A" w:rsidP="00C6251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516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SCHOOL </w:t>
            </w:r>
            <w:r w:rsidR="00C6251F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  <w:r w:rsidRPr="004516C0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49D73F" w14:textId="77777777" w:rsidR="004F057F" w:rsidRPr="004F057F" w:rsidRDefault="004F057F" w:rsidP="004F057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34592FC" w14:textId="77777777" w:rsidR="00F4199A" w:rsidRPr="00944B0C" w:rsidRDefault="00F4199A" w:rsidP="00F4199A">
      <w:pPr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1846"/>
      </w:tblGrid>
      <w:tr w:rsidR="00F4199A" w:rsidRPr="004516C0" w14:paraId="2A3B7718" w14:textId="77777777" w:rsidTr="004F057F">
        <w:trPr>
          <w:trHeight w:val="481"/>
        </w:trPr>
        <w:tc>
          <w:tcPr>
            <w:tcW w:w="4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48D03" w14:textId="77777777" w:rsidR="00F4199A" w:rsidRPr="004516C0" w:rsidRDefault="00F4199A" w:rsidP="004516C0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516C0">
              <w:rPr>
                <w:rFonts w:ascii="Arial" w:hAnsi="Arial" w:cs="Arial"/>
                <w:b/>
                <w:sz w:val="22"/>
                <w:szCs w:val="22"/>
                <w:lang w:val="en-US"/>
              </w:rPr>
              <w:t>AMOUNT OF CASHFLOW REQUEST: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428028" w14:textId="77777777" w:rsidR="00F4199A" w:rsidRPr="004F057F" w:rsidRDefault="00F4199A" w:rsidP="00F4199A">
            <w:pPr>
              <w:rPr>
                <w:rFonts w:ascii="Arial" w:hAnsi="Arial" w:cs="Arial"/>
                <w:b/>
                <w:lang w:val="en-US"/>
              </w:rPr>
            </w:pPr>
            <w:r w:rsidRPr="004F057F">
              <w:rPr>
                <w:rFonts w:ascii="Arial" w:hAnsi="Arial" w:cs="Arial"/>
                <w:b/>
                <w:lang w:val="en-US"/>
              </w:rPr>
              <w:t>£</w:t>
            </w:r>
            <w:r w:rsidR="004F057F" w:rsidRPr="004F057F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F4199A" w:rsidRPr="004516C0" w14:paraId="072C0A7C" w14:textId="77777777" w:rsidTr="004F057F">
        <w:trPr>
          <w:trHeight w:val="518"/>
        </w:trPr>
        <w:tc>
          <w:tcPr>
            <w:tcW w:w="4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4913C" w14:textId="77777777" w:rsidR="00F4199A" w:rsidRPr="004516C0" w:rsidRDefault="00F4199A" w:rsidP="004516C0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516C0">
              <w:rPr>
                <w:rFonts w:ascii="Arial" w:hAnsi="Arial" w:cs="Arial"/>
                <w:b/>
                <w:sz w:val="22"/>
                <w:szCs w:val="22"/>
                <w:lang w:val="en-US"/>
              </w:rPr>
              <w:t>DATE TRANSFER REQUIRED: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548982" w14:textId="77777777" w:rsidR="00F4199A" w:rsidRPr="004F057F" w:rsidRDefault="00F4199A" w:rsidP="004F057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F9AEABF" w14:textId="77777777" w:rsidR="00CA601F" w:rsidRDefault="00CA601F" w:rsidP="009733E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52C87F7" w14:textId="77777777" w:rsidR="00F4199A" w:rsidRPr="004F057F" w:rsidRDefault="00F4199A" w:rsidP="009733E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F057F">
        <w:rPr>
          <w:rFonts w:ascii="Arial" w:hAnsi="Arial" w:cs="Arial"/>
          <w:sz w:val="20"/>
          <w:szCs w:val="20"/>
          <w:lang w:val="en-US"/>
        </w:rPr>
        <w:t>Cashflow Advances are normally made via the weekly Oracle Extract system, Extract f</w:t>
      </w:r>
      <w:r w:rsidR="004F057F">
        <w:rPr>
          <w:rFonts w:ascii="Arial" w:hAnsi="Arial" w:cs="Arial"/>
          <w:sz w:val="20"/>
          <w:szCs w:val="20"/>
          <w:lang w:val="en-US"/>
        </w:rPr>
        <w:t xml:space="preserve">iles are </w:t>
      </w:r>
      <w:proofErr w:type="spellStart"/>
      <w:r w:rsidR="004F057F">
        <w:rPr>
          <w:rFonts w:ascii="Arial" w:hAnsi="Arial" w:cs="Arial"/>
          <w:sz w:val="20"/>
          <w:szCs w:val="20"/>
          <w:lang w:val="en-US"/>
        </w:rPr>
        <w:t>finalised</w:t>
      </w:r>
      <w:proofErr w:type="spellEnd"/>
      <w:r w:rsidR="004F057F">
        <w:rPr>
          <w:rFonts w:ascii="Arial" w:hAnsi="Arial" w:cs="Arial"/>
          <w:sz w:val="20"/>
          <w:szCs w:val="20"/>
          <w:lang w:val="en-US"/>
        </w:rPr>
        <w:t xml:space="preserve"> each Friday, </w:t>
      </w:r>
      <w:r w:rsidRPr="004F057F">
        <w:rPr>
          <w:rFonts w:ascii="Arial" w:hAnsi="Arial" w:cs="Arial"/>
          <w:sz w:val="20"/>
          <w:szCs w:val="20"/>
          <w:lang w:val="en-US"/>
        </w:rPr>
        <w:t>the bank balance will not be credited until the Friday of the following week. Urgent credits will incur additional charges.</w:t>
      </w:r>
    </w:p>
    <w:p w14:paraId="0868DBC3" w14:textId="77777777" w:rsidR="00F4199A" w:rsidRPr="00944B0C" w:rsidRDefault="00F4199A" w:rsidP="00F4199A">
      <w:pPr>
        <w:ind w:left="360"/>
        <w:rPr>
          <w:rFonts w:ascii="Arial" w:hAnsi="Arial" w:cs="Arial"/>
          <w:sz w:val="20"/>
          <w:lang w:val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7905"/>
        <w:gridCol w:w="1134"/>
        <w:gridCol w:w="1842"/>
        <w:gridCol w:w="142"/>
      </w:tblGrid>
      <w:tr w:rsidR="00F4199A" w:rsidRPr="004516C0" w14:paraId="4A4843C7" w14:textId="77777777" w:rsidTr="008C2F5F">
        <w:trPr>
          <w:gridAfter w:val="1"/>
          <w:wAfter w:w="142" w:type="dxa"/>
          <w:trHeight w:val="953"/>
        </w:trPr>
        <w:tc>
          <w:tcPr>
            <w:tcW w:w="10881" w:type="dxa"/>
            <w:gridSpan w:val="3"/>
            <w:shd w:val="clear" w:color="auto" w:fill="CCFFFF"/>
          </w:tcPr>
          <w:p w14:paraId="39C370D4" w14:textId="77777777" w:rsidR="00F4199A" w:rsidRPr="004516C0" w:rsidRDefault="00F4199A" w:rsidP="00F4199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A601F">
              <w:rPr>
                <w:rFonts w:ascii="Arial" w:hAnsi="Arial" w:cs="Arial"/>
                <w:b/>
                <w:sz w:val="20"/>
                <w:szCs w:val="20"/>
                <w:lang w:val="en-US"/>
              </w:rPr>
              <w:t>REASON FOR APPLYING FOR TEMPORARY CASHFLOW ADVANCE</w:t>
            </w:r>
            <w:r w:rsidRPr="004516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  <w:p w14:paraId="19CC3635" w14:textId="77777777" w:rsidR="00F4199A" w:rsidRPr="009733E4" w:rsidRDefault="00F4199A" w:rsidP="00F419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0CA6" w:rsidRPr="004516C0" w14:paraId="30060418" w14:textId="77777777" w:rsidTr="008C2F5F">
        <w:trPr>
          <w:gridAfter w:val="1"/>
          <w:wAfter w:w="142" w:type="dxa"/>
          <w:trHeight w:val="240"/>
        </w:trPr>
        <w:tc>
          <w:tcPr>
            <w:tcW w:w="10881" w:type="dxa"/>
            <w:gridSpan w:val="3"/>
            <w:shd w:val="clear" w:color="auto" w:fill="CCFFFF"/>
          </w:tcPr>
          <w:p w14:paraId="515D0FCB" w14:textId="77777777" w:rsidR="000F0CA6" w:rsidRPr="004516C0" w:rsidRDefault="000F0CA6" w:rsidP="00F4199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A601F">
              <w:rPr>
                <w:rFonts w:ascii="Arial" w:hAnsi="Arial" w:cs="Arial"/>
                <w:b/>
                <w:sz w:val="20"/>
                <w:szCs w:val="20"/>
                <w:lang w:val="en-US"/>
              </w:rPr>
              <w:t>ANTICIPATED DURATION OF THE ADVANCE (if known at this stage)</w:t>
            </w:r>
            <w:r w:rsidRPr="004516C0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14:paraId="7A33CB2A" w14:textId="77777777" w:rsidR="000F0CA6" w:rsidRPr="009733E4" w:rsidRDefault="000F0CA6" w:rsidP="00F419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2F5F" w:rsidRPr="004516C0" w14:paraId="306F30E4" w14:textId="77777777" w:rsidTr="008C2F5F">
        <w:trPr>
          <w:trHeight w:val="345"/>
        </w:trPr>
        <w:tc>
          <w:tcPr>
            <w:tcW w:w="79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7CDAE" w14:textId="77777777" w:rsidR="008C2F5F" w:rsidRPr="00795A75" w:rsidRDefault="008C2F5F" w:rsidP="000F0C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5A75">
              <w:rPr>
                <w:rFonts w:ascii="Arial" w:hAnsi="Arial" w:cs="Arial"/>
                <w:b/>
                <w:sz w:val="20"/>
                <w:szCs w:val="20"/>
                <w:lang w:val="en-US"/>
              </w:rPr>
              <w:t>THIS IS A CONTINUANCE OF AN EXISTING CASHFLOW ADVANCE LOAN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7EFA788E" w14:textId="77777777" w:rsidR="008C2F5F" w:rsidRPr="00795A75" w:rsidRDefault="008C2F5F" w:rsidP="008C2F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5A75">
              <w:rPr>
                <w:rFonts w:ascii="Arial" w:hAnsi="Arial" w:cs="Arial"/>
                <w:b/>
                <w:sz w:val="20"/>
                <w:szCs w:val="20"/>
                <w:lang w:val="en-US"/>
              </w:rPr>
              <w:t>YES 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EFD299" w14:textId="77777777" w:rsidR="008C2F5F" w:rsidRPr="00CA601F" w:rsidRDefault="008C2F5F" w:rsidP="008C2F5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516C0">
              <w:rPr>
                <w:rFonts w:ascii="Arial" w:hAnsi="Arial" w:cs="Arial"/>
                <w:i/>
                <w:sz w:val="18"/>
                <w:szCs w:val="18"/>
                <w:lang w:val="en-US"/>
              </w:rPr>
              <w:t>Delete as appropriate</w:t>
            </w:r>
          </w:p>
        </w:tc>
      </w:tr>
    </w:tbl>
    <w:p w14:paraId="34B37797" w14:textId="77777777" w:rsidR="004F057F" w:rsidRPr="00795A75" w:rsidRDefault="000F0CA6" w:rsidP="004F057F">
      <w:pPr>
        <w:pStyle w:val="MainBody"/>
        <w:ind w:left="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N.B</w:t>
      </w:r>
      <w:r w:rsidRPr="00795A75">
        <w:rPr>
          <w:sz w:val="20"/>
          <w:szCs w:val="20"/>
          <w:lang w:val="en-US"/>
        </w:rPr>
        <w:t>. Continuance of l</w:t>
      </w:r>
      <w:proofErr w:type="spellStart"/>
      <w:r w:rsidR="004F057F" w:rsidRPr="00795A75">
        <w:rPr>
          <w:sz w:val="20"/>
          <w:szCs w:val="20"/>
        </w:rPr>
        <w:t>oans</w:t>
      </w:r>
      <w:proofErr w:type="spellEnd"/>
      <w:r w:rsidR="004F057F" w:rsidRPr="00795A75">
        <w:rPr>
          <w:sz w:val="20"/>
          <w:szCs w:val="20"/>
        </w:rPr>
        <w:t xml:space="preserve"> must be </w:t>
      </w:r>
      <w:r w:rsidRPr="00795A75">
        <w:rPr>
          <w:sz w:val="20"/>
          <w:szCs w:val="20"/>
        </w:rPr>
        <w:t>confirmed</w:t>
      </w:r>
      <w:r w:rsidR="004F057F" w:rsidRPr="00795A75">
        <w:rPr>
          <w:sz w:val="20"/>
          <w:szCs w:val="20"/>
        </w:rPr>
        <w:t xml:space="preserve"> annually at the start of each financial year</w:t>
      </w:r>
      <w:r w:rsidR="008C2F5F" w:rsidRPr="00795A75">
        <w:rPr>
          <w:sz w:val="20"/>
          <w:szCs w:val="20"/>
        </w:rPr>
        <w:t xml:space="preserve"> until repaid</w:t>
      </w:r>
      <w:r w:rsidR="004F057F" w:rsidRPr="00795A75">
        <w:rPr>
          <w:sz w:val="20"/>
          <w:szCs w:val="20"/>
        </w:rPr>
        <w:t xml:space="preserve">. </w:t>
      </w:r>
    </w:p>
    <w:p w14:paraId="63FFB0BF" w14:textId="77777777" w:rsidR="000F0CA6" w:rsidRPr="00795A75" w:rsidRDefault="000F0CA6" w:rsidP="004F057F">
      <w:pPr>
        <w:pStyle w:val="MainBody"/>
        <w:ind w:left="0"/>
        <w:jc w:val="both"/>
        <w:rPr>
          <w:sz w:val="20"/>
          <w:szCs w:val="20"/>
        </w:rPr>
      </w:pPr>
      <w:r w:rsidRPr="00795A75">
        <w:rPr>
          <w:sz w:val="20"/>
          <w:szCs w:val="20"/>
        </w:rPr>
        <w:t>The LA may refuse a new application from a school for a Cashflow Advance where the school has applied to the DfE to become an Academy.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134"/>
        <w:gridCol w:w="1984"/>
      </w:tblGrid>
      <w:tr w:rsidR="008C2F5F" w:rsidRPr="00795A75" w14:paraId="2FFABCAA" w14:textId="77777777" w:rsidTr="008C2F5F">
        <w:trPr>
          <w:trHeight w:val="4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87DF" w14:textId="77777777" w:rsidR="008C2F5F" w:rsidRPr="00795A75" w:rsidRDefault="008C2F5F" w:rsidP="008C2F5F">
            <w:pPr>
              <w:rPr>
                <w:rFonts w:ascii="Arial" w:hAnsi="Arial" w:cs="Arial"/>
                <w:b/>
                <w:caps/>
                <w:sz w:val="22"/>
                <w:szCs w:val="22"/>
                <w:lang w:val="en-US"/>
              </w:rPr>
            </w:pPr>
            <w:r w:rsidRPr="00795A75">
              <w:rPr>
                <w:rFonts w:ascii="Arial" w:hAnsi="Arial" w:cs="Arial"/>
                <w:b/>
                <w:caps/>
                <w:sz w:val="22"/>
                <w:szCs w:val="22"/>
                <w:lang w:val="en-US"/>
              </w:rPr>
              <w:t>The school has applied to the D</w:t>
            </w:r>
            <w:r w:rsidRPr="00795A75"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795A75">
              <w:rPr>
                <w:rFonts w:ascii="Arial" w:hAnsi="Arial" w:cs="Arial"/>
                <w:b/>
                <w:caps/>
                <w:sz w:val="22"/>
                <w:szCs w:val="22"/>
                <w:lang w:val="en-US"/>
              </w:rPr>
              <w:t>E to become an academy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6552D9" w14:textId="77777777" w:rsidR="008C2F5F" w:rsidRPr="00795A75" w:rsidRDefault="008C2F5F" w:rsidP="00015E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5A75">
              <w:rPr>
                <w:rFonts w:ascii="Arial" w:hAnsi="Arial" w:cs="Arial"/>
                <w:b/>
                <w:sz w:val="20"/>
                <w:szCs w:val="20"/>
                <w:lang w:val="en-US"/>
              </w:rPr>
              <w:t>YES 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282AB2" w14:textId="77777777" w:rsidR="008C2F5F" w:rsidRPr="00795A75" w:rsidRDefault="008C2F5F" w:rsidP="008C2F5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5A75">
              <w:rPr>
                <w:rFonts w:ascii="Arial" w:hAnsi="Arial" w:cs="Arial"/>
                <w:i/>
                <w:sz w:val="18"/>
                <w:szCs w:val="18"/>
                <w:lang w:val="en-US"/>
              </w:rPr>
              <w:t>Delete as appropriate</w:t>
            </w:r>
          </w:p>
        </w:tc>
      </w:tr>
    </w:tbl>
    <w:p w14:paraId="4124A2F8" w14:textId="77777777" w:rsidR="004F057F" w:rsidRPr="004F057F" w:rsidRDefault="004F057F" w:rsidP="004F057F">
      <w:pPr>
        <w:pStyle w:val="MainBody"/>
        <w:ind w:left="0"/>
        <w:jc w:val="both"/>
        <w:rPr>
          <w:i/>
          <w:sz w:val="20"/>
          <w:szCs w:val="20"/>
        </w:rPr>
      </w:pPr>
      <w:r w:rsidRPr="00795A75">
        <w:rPr>
          <w:sz w:val="20"/>
          <w:szCs w:val="20"/>
        </w:rPr>
        <w:t>The liability to repay the outstanding Cashflow Advance balance at the point of converting to an Academy</w:t>
      </w:r>
      <w:r w:rsidRPr="004F057F">
        <w:rPr>
          <w:sz w:val="20"/>
          <w:szCs w:val="20"/>
        </w:rPr>
        <w:t xml:space="preserve"> will transfer to the successor Academy, or in the case of a sponsored converter, to the Academy Sponsor (</w:t>
      </w:r>
      <w:r w:rsidRPr="004F057F">
        <w:rPr>
          <w:i/>
          <w:sz w:val="20"/>
          <w:szCs w:val="20"/>
        </w:rPr>
        <w:t>Section 4.10, Scheme).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134"/>
        <w:gridCol w:w="1984"/>
      </w:tblGrid>
      <w:tr w:rsidR="00F4199A" w:rsidRPr="004516C0" w14:paraId="77F16E14" w14:textId="77777777" w:rsidTr="004F057F">
        <w:trPr>
          <w:trHeight w:val="40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CDC6F" w14:textId="77777777" w:rsidR="00F4199A" w:rsidRPr="004516C0" w:rsidRDefault="00F4199A" w:rsidP="00F4199A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4516C0">
              <w:rPr>
                <w:rFonts w:ascii="Arial" w:hAnsi="Arial" w:cs="Arial"/>
                <w:b/>
                <w:sz w:val="22"/>
                <w:szCs w:val="22"/>
                <w:lang w:val="en-US"/>
              </w:rPr>
              <w:t>CHECKLIST FOR TEMPORARY CASHFLOW ADVANCE</w:t>
            </w:r>
            <w:r w:rsidRPr="004516C0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4516C0">
              <w:rPr>
                <w:rFonts w:ascii="Arial" w:hAnsi="Arial" w:cs="Arial"/>
                <w:sz w:val="20"/>
                <w:lang w:val="en-US"/>
              </w:rPr>
              <w:t>(school to complete):</w:t>
            </w:r>
          </w:p>
        </w:tc>
      </w:tr>
      <w:tr w:rsidR="00F4199A" w:rsidRPr="004516C0" w14:paraId="317C1F08" w14:textId="77777777" w:rsidTr="004F057F">
        <w:trPr>
          <w:trHeight w:val="4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FAB8" w14:textId="77777777" w:rsidR="00F4199A" w:rsidRPr="00CA601F" w:rsidRDefault="00F4199A" w:rsidP="00F419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601F">
              <w:rPr>
                <w:rFonts w:ascii="Arial" w:hAnsi="Arial" w:cs="Arial"/>
                <w:sz w:val="20"/>
                <w:szCs w:val="20"/>
                <w:lang w:val="en-US"/>
              </w:rPr>
              <w:t>A revised cashflow forecast has been produced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57054A" w14:textId="77777777" w:rsidR="00F4199A" w:rsidRPr="00CA601F" w:rsidRDefault="00F4199A" w:rsidP="004516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01F">
              <w:rPr>
                <w:rFonts w:ascii="Arial" w:hAnsi="Arial" w:cs="Arial"/>
                <w:b/>
                <w:sz w:val="20"/>
                <w:szCs w:val="20"/>
                <w:lang w:val="en-US"/>
              </w:rPr>
              <w:t>YES NO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72B450" w14:textId="77777777" w:rsidR="00F4199A" w:rsidRPr="004516C0" w:rsidRDefault="00F4199A" w:rsidP="00F4199A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516C0">
              <w:rPr>
                <w:rFonts w:ascii="Arial" w:hAnsi="Arial" w:cs="Arial"/>
                <w:i/>
                <w:sz w:val="18"/>
                <w:szCs w:val="18"/>
                <w:lang w:val="en-US"/>
              </w:rPr>
              <w:t>Delete as appropriate</w:t>
            </w:r>
          </w:p>
        </w:tc>
      </w:tr>
      <w:tr w:rsidR="00F4199A" w:rsidRPr="004516C0" w14:paraId="591A7806" w14:textId="77777777" w:rsidTr="004F057F">
        <w:trPr>
          <w:trHeight w:val="4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31B4" w14:textId="77777777" w:rsidR="00F4199A" w:rsidRPr="00CA601F" w:rsidRDefault="00F4199A" w:rsidP="00F419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601F">
              <w:rPr>
                <w:rFonts w:ascii="Arial" w:hAnsi="Arial" w:cs="Arial"/>
                <w:sz w:val="20"/>
                <w:szCs w:val="20"/>
                <w:lang w:val="en-US"/>
              </w:rPr>
              <w:t>Additional interest charges have been estimated for the budget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E277EC" w14:textId="77777777" w:rsidR="00F4199A" w:rsidRPr="00CA601F" w:rsidRDefault="00F4199A" w:rsidP="004516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01F">
              <w:rPr>
                <w:rFonts w:ascii="Arial" w:hAnsi="Arial" w:cs="Arial"/>
                <w:b/>
                <w:sz w:val="20"/>
                <w:szCs w:val="20"/>
                <w:lang w:val="en-US"/>
              </w:rPr>
              <w:t>YES NO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1F4EAF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4199A" w:rsidRPr="004516C0" w14:paraId="64AAB199" w14:textId="77777777" w:rsidTr="004F057F">
        <w:trPr>
          <w:trHeight w:val="4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601C" w14:textId="77777777" w:rsidR="00F4199A" w:rsidRPr="00CA601F" w:rsidRDefault="00F4199A" w:rsidP="00F419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601F">
              <w:rPr>
                <w:rFonts w:ascii="Arial" w:hAnsi="Arial" w:cs="Arial"/>
                <w:sz w:val="20"/>
                <w:szCs w:val="20"/>
                <w:lang w:val="en-US"/>
              </w:rPr>
              <w:t>An update on cashflow will be included in all future financial reports prepared for governors until the Advance is repaid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22FB86" w14:textId="77777777" w:rsidR="00F4199A" w:rsidRPr="00CA601F" w:rsidRDefault="00F4199A" w:rsidP="004F05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01F">
              <w:rPr>
                <w:rFonts w:ascii="Arial" w:hAnsi="Arial" w:cs="Arial"/>
                <w:b/>
                <w:sz w:val="20"/>
                <w:szCs w:val="20"/>
                <w:lang w:val="en-US"/>
              </w:rPr>
              <w:t>YES NO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01805FD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4199A" w:rsidRPr="004516C0" w14:paraId="592562F6" w14:textId="77777777" w:rsidTr="004F057F">
        <w:trPr>
          <w:trHeight w:val="4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20B7" w14:textId="77777777" w:rsidR="00F4199A" w:rsidRPr="00CA601F" w:rsidRDefault="00F4199A" w:rsidP="00F419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601F">
              <w:rPr>
                <w:rFonts w:ascii="Arial" w:hAnsi="Arial" w:cs="Arial"/>
                <w:sz w:val="20"/>
                <w:szCs w:val="20"/>
                <w:lang w:val="en-US"/>
              </w:rPr>
              <w:t>The school is monitoring cashflow on a regular basis and is reconciling the bank statements weekly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2FAFB2" w14:textId="77777777" w:rsidR="00F4199A" w:rsidRPr="00CA601F" w:rsidRDefault="00F4199A" w:rsidP="004F05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601F">
              <w:rPr>
                <w:rFonts w:ascii="Arial" w:hAnsi="Arial" w:cs="Arial"/>
                <w:b/>
                <w:sz w:val="20"/>
                <w:szCs w:val="20"/>
                <w:lang w:val="en-US"/>
              </w:rPr>
              <w:t>YES NO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7427BD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0A526763" w14:textId="77777777" w:rsidR="00CA601F" w:rsidRDefault="00CA601F" w:rsidP="00F4199A">
      <w:pPr>
        <w:rPr>
          <w:rFonts w:ascii="Arial" w:hAnsi="Arial" w:cs="Arial"/>
          <w:b/>
          <w:sz w:val="22"/>
          <w:szCs w:val="22"/>
          <w:lang w:val="en-US"/>
        </w:rPr>
      </w:pPr>
    </w:p>
    <w:p w14:paraId="165509A6" w14:textId="77777777" w:rsidR="00F4199A" w:rsidRPr="004D295D" w:rsidRDefault="00F4199A" w:rsidP="00F4199A">
      <w:pPr>
        <w:rPr>
          <w:rFonts w:ascii="Arial" w:hAnsi="Arial" w:cs="Arial"/>
          <w:b/>
          <w:sz w:val="22"/>
          <w:szCs w:val="22"/>
          <w:lang w:val="en-US"/>
        </w:rPr>
      </w:pPr>
      <w:r w:rsidRPr="004D295D">
        <w:rPr>
          <w:rFonts w:ascii="Arial" w:hAnsi="Arial" w:cs="Arial"/>
          <w:b/>
          <w:sz w:val="22"/>
          <w:szCs w:val="22"/>
          <w:lang w:val="en-US"/>
        </w:rPr>
        <w:t>AUTHORISATION:</w:t>
      </w:r>
    </w:p>
    <w:p w14:paraId="575FE01F" w14:textId="77777777" w:rsidR="00CA601F" w:rsidRPr="000F0CA6" w:rsidRDefault="00F4199A" w:rsidP="00CA601F">
      <w:pPr>
        <w:rPr>
          <w:rFonts w:ascii="Arial" w:hAnsi="Arial" w:cs="Arial"/>
          <w:sz w:val="20"/>
          <w:szCs w:val="20"/>
          <w:lang w:val="en-US"/>
        </w:rPr>
      </w:pPr>
      <w:r w:rsidRPr="000F0CA6">
        <w:rPr>
          <w:rFonts w:ascii="Arial" w:hAnsi="Arial" w:cs="Arial"/>
          <w:sz w:val="20"/>
          <w:szCs w:val="20"/>
          <w:lang w:val="en-US"/>
        </w:rPr>
        <w:t xml:space="preserve">We understand and agree to the terms and conditions of the </w:t>
      </w:r>
      <w:hyperlink r:id="rId6" w:history="1">
        <w:r w:rsidR="009733E4" w:rsidRPr="000F0CA6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Cashflow </w:t>
        </w:r>
        <w:r w:rsidR="00CA601F" w:rsidRPr="000F0CA6">
          <w:rPr>
            <w:rStyle w:val="Hyperlink"/>
            <w:rFonts w:ascii="Arial" w:hAnsi="Arial" w:cs="Arial"/>
            <w:sz w:val="20"/>
            <w:szCs w:val="20"/>
            <w:lang w:val="en-US"/>
          </w:rPr>
          <w:t>Advance Loan Finance Regulation</w:t>
        </w:r>
      </w:hyperlink>
      <w:r w:rsidR="00CA601F" w:rsidRPr="000F0CA6">
        <w:rPr>
          <w:rFonts w:ascii="Arial" w:hAnsi="Arial" w:cs="Arial"/>
          <w:sz w:val="20"/>
          <w:szCs w:val="20"/>
          <w:lang w:val="en-US"/>
        </w:rPr>
        <w:t>:</w:t>
      </w:r>
    </w:p>
    <w:p w14:paraId="1425F5A8" w14:textId="77777777" w:rsidR="00F4199A" w:rsidRPr="00CA601F" w:rsidRDefault="009733E4" w:rsidP="00CA601F">
      <w:pPr>
        <w:rPr>
          <w:rFonts w:ascii="Arial" w:hAnsi="Arial" w:cs="Arial"/>
          <w:b/>
          <w:sz w:val="16"/>
          <w:szCs w:val="16"/>
          <w:lang w:val="en-US"/>
        </w:rPr>
      </w:pPr>
      <w:r w:rsidRPr="00CA601F">
        <w:rPr>
          <w:rFonts w:ascii="Arial" w:hAnsi="Arial" w:cs="Arial"/>
          <w:b/>
          <w:sz w:val="16"/>
          <w:szCs w:val="16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"/>
        <w:gridCol w:w="3240"/>
        <w:gridCol w:w="360"/>
        <w:gridCol w:w="2160"/>
      </w:tblGrid>
      <w:tr w:rsidR="00F4199A" w:rsidRPr="004516C0" w14:paraId="3C776B61" w14:textId="77777777" w:rsidTr="004516C0"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F332" w14:textId="77777777" w:rsidR="00F4199A" w:rsidRPr="004516C0" w:rsidRDefault="00F4199A" w:rsidP="00F4199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516C0">
              <w:rPr>
                <w:rFonts w:ascii="Arial" w:hAnsi="Arial" w:cs="Arial"/>
                <w:b/>
                <w:sz w:val="22"/>
                <w:szCs w:val="22"/>
                <w:lang w:val="en-US"/>
              </w:rPr>
              <w:t>Headteacher</w:t>
            </w:r>
          </w:p>
        </w:tc>
      </w:tr>
      <w:tr w:rsidR="00F4199A" w:rsidRPr="004516C0" w14:paraId="57A49ED0" w14:textId="77777777" w:rsidTr="004516C0">
        <w:trPr>
          <w:trHeight w:val="53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5F3424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6022FD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22B42EA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B2E05A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955B244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4199A" w:rsidRPr="004516C0" w14:paraId="304EED07" w14:textId="77777777" w:rsidTr="004516C0">
        <w:tc>
          <w:tcPr>
            <w:tcW w:w="40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6D6FAC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  <w:r w:rsidRPr="004516C0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1F8B8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8F7F83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  <w:r w:rsidRPr="004516C0"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BA82B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0F62D1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  <w:r w:rsidRPr="004516C0"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</w:tr>
      <w:tr w:rsidR="00F4199A" w:rsidRPr="00CA601F" w14:paraId="050F2659" w14:textId="77777777" w:rsidTr="00CA601F">
        <w:trPr>
          <w:trHeight w:val="112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FE2E" w14:textId="77777777" w:rsidR="00F4199A" w:rsidRPr="00CA601F" w:rsidRDefault="00F4199A" w:rsidP="00F4199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F4199A" w:rsidRPr="004516C0" w14:paraId="513AC545" w14:textId="77777777" w:rsidTr="004516C0"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CC92" w14:textId="77777777" w:rsidR="00F4199A" w:rsidRPr="004516C0" w:rsidRDefault="00B8564E" w:rsidP="00F4199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="00F4199A" w:rsidRPr="004516C0">
              <w:rPr>
                <w:rFonts w:ascii="Arial" w:hAnsi="Arial" w:cs="Arial"/>
                <w:b/>
                <w:sz w:val="22"/>
                <w:szCs w:val="22"/>
                <w:lang w:val="en-US"/>
              </w:rPr>
              <w:t>hair of Governors or Chair of Finance Committee</w:t>
            </w:r>
          </w:p>
        </w:tc>
      </w:tr>
      <w:tr w:rsidR="00F4199A" w:rsidRPr="004516C0" w14:paraId="5C016FFF" w14:textId="77777777" w:rsidTr="004516C0">
        <w:trPr>
          <w:trHeight w:val="58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AEC5CD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72C3B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4989659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C8FAC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EB0B44A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4199A" w:rsidRPr="004516C0" w14:paraId="76CF1971" w14:textId="77777777" w:rsidTr="004516C0">
        <w:tc>
          <w:tcPr>
            <w:tcW w:w="40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325FE1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  <w:r w:rsidRPr="004516C0">
              <w:rPr>
                <w:rFonts w:ascii="Arial" w:hAnsi="Arial" w:cs="Arial"/>
                <w:sz w:val="20"/>
                <w:lang w:val="en-US"/>
              </w:rPr>
              <w:t xml:space="preserve">Name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51734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A7DEE9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  <w:r w:rsidRPr="004516C0"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F7341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953997" w14:textId="77777777" w:rsidR="00F4199A" w:rsidRPr="004516C0" w:rsidRDefault="00F4199A" w:rsidP="00F4199A">
            <w:pPr>
              <w:rPr>
                <w:rFonts w:ascii="Arial" w:hAnsi="Arial" w:cs="Arial"/>
                <w:sz w:val="20"/>
                <w:lang w:val="en-US"/>
              </w:rPr>
            </w:pPr>
            <w:r w:rsidRPr="004516C0"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</w:tr>
    </w:tbl>
    <w:p w14:paraId="020FEEBE" w14:textId="77777777" w:rsidR="00F4199A" w:rsidRDefault="00F4199A" w:rsidP="00F4199A">
      <w:pPr>
        <w:rPr>
          <w:rFonts w:ascii="Arial" w:hAnsi="Arial" w:cs="Arial"/>
          <w:sz w:val="20"/>
          <w:lang w:val="en-US"/>
        </w:rPr>
      </w:pPr>
    </w:p>
    <w:p w14:paraId="3846AC8A" w14:textId="77777777" w:rsidR="00880E04" w:rsidRPr="00F4199A" w:rsidRDefault="00F4199A" w:rsidP="00F4199A">
      <w:r w:rsidRPr="00DB6079">
        <w:rPr>
          <w:rFonts w:ascii="Arial" w:hAnsi="Arial" w:cs="Arial"/>
          <w:sz w:val="18"/>
          <w:szCs w:val="18"/>
          <w:lang w:val="en-US"/>
        </w:rPr>
        <w:t xml:space="preserve">Completed application forms to be e-mailed to </w:t>
      </w:r>
      <w:hyperlink r:id="rId7" w:history="1">
        <w:r w:rsidR="0087651A" w:rsidRPr="0043727A">
          <w:rPr>
            <w:rStyle w:val="Hyperlink"/>
            <w:sz w:val="18"/>
            <w:szCs w:val="18"/>
            <w:lang w:val="en-US"/>
          </w:rPr>
          <w:t>sat@suffolk.gov.uk</w:t>
        </w:r>
      </w:hyperlink>
      <w:r w:rsidRPr="00DB6079">
        <w:rPr>
          <w:rFonts w:ascii="Arial" w:hAnsi="Arial" w:cs="Arial"/>
          <w:sz w:val="18"/>
          <w:szCs w:val="18"/>
          <w:lang w:val="en-US"/>
        </w:rPr>
        <w:t>, a signed copy to be retained in school</w:t>
      </w:r>
      <w:r>
        <w:rPr>
          <w:rFonts w:ascii="Arial" w:hAnsi="Arial" w:cs="Arial"/>
          <w:sz w:val="18"/>
          <w:szCs w:val="18"/>
          <w:lang w:val="en-US"/>
        </w:rPr>
        <w:t>.</w:t>
      </w:r>
    </w:p>
    <w:sectPr w:rsidR="00880E04" w:rsidRPr="00F4199A" w:rsidSect="00F22149">
      <w:headerReference w:type="default" r:id="rId8"/>
      <w:footerReference w:type="default" r:id="rId9"/>
      <w:pgSz w:w="12240" w:h="15840" w:code="1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9938" w14:textId="77777777" w:rsidR="004A5282" w:rsidRDefault="004A5282">
      <w:r>
        <w:separator/>
      </w:r>
    </w:p>
  </w:endnote>
  <w:endnote w:type="continuationSeparator" w:id="0">
    <w:p w14:paraId="20B7C1E2" w14:textId="77777777" w:rsidR="004A5282" w:rsidRDefault="004A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1652" w14:textId="77777777" w:rsidR="00C6251F" w:rsidRPr="00F81557" w:rsidRDefault="00C6251F" w:rsidP="00C6251F">
    <w:pPr>
      <w:pStyle w:val="Footer"/>
      <w:tabs>
        <w:tab w:val="left" w:pos="6300"/>
      </w:tabs>
      <w:rPr>
        <w:rFonts w:ascii="Vrinda" w:hAnsi="Vrinda" w:cs="Vrinda"/>
        <w:sz w:val="18"/>
        <w:szCs w:val="22"/>
      </w:rPr>
    </w:pPr>
    <w:r>
      <w:rPr>
        <w:rFonts w:ascii="Vrinda" w:hAnsi="Vrinda" w:cs="Vrinda"/>
        <w:sz w:val="18"/>
        <w:szCs w:val="22"/>
      </w:rPr>
      <w:t>Version: March 2015</w:t>
    </w:r>
    <w:r w:rsidRPr="00F81557">
      <w:rPr>
        <w:rFonts w:ascii="Vrinda" w:hAnsi="Vrinda" w:cs="Vrinda"/>
        <w:sz w:val="18"/>
        <w:szCs w:val="23"/>
      </w:rPr>
      <w:tab/>
      <w:t xml:space="preserve">              </w:t>
    </w:r>
    <w:r w:rsidRPr="00F81557">
      <w:rPr>
        <w:rFonts w:ascii="Vrinda" w:hAnsi="Vrinda" w:cs="Vrinda"/>
        <w:sz w:val="18"/>
        <w:szCs w:val="23"/>
      </w:rPr>
      <w:sym w:font="Symbol" w:char="F0E3"/>
    </w:r>
    <w:r w:rsidRPr="00F81557">
      <w:rPr>
        <w:rFonts w:ascii="Vrinda" w:hAnsi="Vrinda" w:cs="Vrinda"/>
        <w:sz w:val="18"/>
        <w:szCs w:val="23"/>
      </w:rPr>
      <w:t xml:space="preserve"> Suffolk County Council</w:t>
    </w:r>
    <w:proofErr w:type="gramStart"/>
    <w:r w:rsidRPr="00F81557">
      <w:rPr>
        <w:rFonts w:ascii="Vrinda" w:hAnsi="Vrinda" w:cs="Vrinda"/>
        <w:sz w:val="18"/>
        <w:szCs w:val="23"/>
      </w:rPr>
      <w:tab/>
      <w:t xml:space="preserve">  </w:t>
    </w:r>
    <w:r w:rsidRPr="00F81557">
      <w:rPr>
        <w:rFonts w:ascii="Vrinda" w:hAnsi="Vrinda" w:cs="Vrinda"/>
        <w:sz w:val="18"/>
        <w:szCs w:val="23"/>
      </w:rPr>
      <w:tab/>
    </w:r>
    <w:proofErr w:type="gramEnd"/>
    <w:r>
      <w:rPr>
        <w:rFonts w:ascii="Vrinda" w:hAnsi="Vrinda" w:cs="Vrinda"/>
        <w:sz w:val="18"/>
        <w:szCs w:val="23"/>
      </w:rPr>
      <w:tab/>
    </w:r>
    <w:r w:rsidRPr="00F81557">
      <w:rPr>
        <w:rFonts w:ascii="Vrinda" w:hAnsi="Vrinda" w:cs="Vrinda"/>
        <w:sz w:val="18"/>
        <w:szCs w:val="22"/>
      </w:rPr>
      <w:t xml:space="preserve">Page </w:t>
    </w:r>
    <w:r w:rsidRPr="00F81557">
      <w:rPr>
        <w:rStyle w:val="PageNumber"/>
        <w:rFonts w:ascii="Vrinda" w:hAnsi="Vrinda" w:cs="Vrinda"/>
        <w:sz w:val="18"/>
        <w:szCs w:val="22"/>
      </w:rPr>
      <w:fldChar w:fldCharType="begin"/>
    </w:r>
    <w:r w:rsidRPr="00F81557">
      <w:rPr>
        <w:rStyle w:val="PageNumber"/>
        <w:rFonts w:ascii="Vrinda" w:hAnsi="Vrinda" w:cs="Vrinda"/>
        <w:sz w:val="18"/>
        <w:szCs w:val="22"/>
      </w:rPr>
      <w:instrText xml:space="preserve"> PAGE </w:instrText>
    </w:r>
    <w:r w:rsidRPr="00F81557">
      <w:rPr>
        <w:rStyle w:val="PageNumber"/>
        <w:rFonts w:ascii="Vrinda" w:hAnsi="Vrinda" w:cs="Vrinda"/>
        <w:sz w:val="18"/>
        <w:szCs w:val="22"/>
      </w:rPr>
      <w:fldChar w:fldCharType="separate"/>
    </w:r>
    <w:r w:rsidR="004A5282">
      <w:rPr>
        <w:rStyle w:val="PageNumber"/>
        <w:rFonts w:ascii="Vrinda" w:hAnsi="Vrinda" w:cs="Vrinda"/>
        <w:noProof/>
        <w:sz w:val="18"/>
        <w:szCs w:val="22"/>
      </w:rPr>
      <w:t>1</w:t>
    </w:r>
    <w:r w:rsidRPr="00F81557">
      <w:rPr>
        <w:rStyle w:val="PageNumber"/>
        <w:rFonts w:ascii="Vrinda" w:hAnsi="Vrinda" w:cs="Vrinda"/>
        <w:sz w:val="18"/>
        <w:szCs w:val="22"/>
      </w:rPr>
      <w:fldChar w:fldCharType="end"/>
    </w:r>
    <w:r w:rsidRPr="00F81557">
      <w:rPr>
        <w:rStyle w:val="PageNumber"/>
        <w:rFonts w:ascii="Vrinda" w:hAnsi="Vrinda" w:cs="Vrinda"/>
        <w:sz w:val="18"/>
        <w:szCs w:val="22"/>
      </w:rPr>
      <w:t xml:space="preserve"> of </w:t>
    </w:r>
    <w:r w:rsidRPr="00F81557">
      <w:rPr>
        <w:rStyle w:val="PageNumber"/>
        <w:rFonts w:ascii="Vrinda" w:hAnsi="Vrinda" w:cs="Vrinda"/>
        <w:sz w:val="18"/>
        <w:szCs w:val="22"/>
      </w:rPr>
      <w:fldChar w:fldCharType="begin"/>
    </w:r>
    <w:r w:rsidRPr="00F81557">
      <w:rPr>
        <w:rStyle w:val="PageNumber"/>
        <w:rFonts w:ascii="Vrinda" w:hAnsi="Vrinda" w:cs="Vrinda"/>
        <w:sz w:val="18"/>
        <w:szCs w:val="22"/>
      </w:rPr>
      <w:instrText xml:space="preserve"> NUMPAGES </w:instrText>
    </w:r>
    <w:r w:rsidRPr="00F81557">
      <w:rPr>
        <w:rStyle w:val="PageNumber"/>
        <w:rFonts w:ascii="Vrinda" w:hAnsi="Vrinda" w:cs="Vrinda"/>
        <w:sz w:val="18"/>
        <w:szCs w:val="22"/>
      </w:rPr>
      <w:fldChar w:fldCharType="separate"/>
    </w:r>
    <w:r w:rsidR="004A5282">
      <w:rPr>
        <w:rStyle w:val="PageNumber"/>
        <w:rFonts w:ascii="Vrinda" w:hAnsi="Vrinda" w:cs="Vrinda"/>
        <w:noProof/>
        <w:sz w:val="18"/>
        <w:szCs w:val="22"/>
      </w:rPr>
      <w:t>1</w:t>
    </w:r>
    <w:r w:rsidRPr="00F81557">
      <w:rPr>
        <w:rStyle w:val="PageNumber"/>
        <w:rFonts w:ascii="Vrinda" w:hAnsi="Vrinda" w:cs="Vrinda"/>
        <w:sz w:val="18"/>
        <w:szCs w:val="22"/>
      </w:rPr>
      <w:fldChar w:fldCharType="end"/>
    </w:r>
  </w:p>
  <w:p w14:paraId="0FECF3DA" w14:textId="77777777" w:rsidR="004D295D" w:rsidRDefault="004D295D" w:rsidP="00F419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08D9" w14:textId="77777777" w:rsidR="004A5282" w:rsidRDefault="004A5282">
      <w:r>
        <w:separator/>
      </w:r>
    </w:p>
  </w:footnote>
  <w:footnote w:type="continuationSeparator" w:id="0">
    <w:p w14:paraId="4B66DB91" w14:textId="77777777" w:rsidR="004A5282" w:rsidRDefault="004A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1446" w14:textId="77777777" w:rsidR="00B8564E" w:rsidRDefault="004A5282" w:rsidP="00C6251F">
    <w:pPr>
      <w:pStyle w:val="Header"/>
      <w:jc w:val="right"/>
    </w:pPr>
    <w:r>
      <w:rPr>
        <w:noProof/>
        <w:lang w:eastAsia="en-GB"/>
      </w:rPr>
      <w:drawing>
        <wp:inline distT="0" distB="0" distL="0" distR="0" wp14:anchorId="4CA43FDB" wp14:editId="543283C2">
          <wp:extent cx="1294130" cy="396875"/>
          <wp:effectExtent l="0" t="0" r="1270" b="3175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82"/>
    <w:rsid w:val="000E4E34"/>
    <w:rsid w:val="000F0CA6"/>
    <w:rsid w:val="00174C4D"/>
    <w:rsid w:val="00290246"/>
    <w:rsid w:val="002B6BE8"/>
    <w:rsid w:val="004516C0"/>
    <w:rsid w:val="00461DDC"/>
    <w:rsid w:val="004620D1"/>
    <w:rsid w:val="004A5282"/>
    <w:rsid w:val="004D295D"/>
    <w:rsid w:val="004F057F"/>
    <w:rsid w:val="005272D4"/>
    <w:rsid w:val="00581852"/>
    <w:rsid w:val="005C0FF2"/>
    <w:rsid w:val="00795A75"/>
    <w:rsid w:val="007B28BB"/>
    <w:rsid w:val="007B639A"/>
    <w:rsid w:val="0087651A"/>
    <w:rsid w:val="00880E04"/>
    <w:rsid w:val="008C2F5F"/>
    <w:rsid w:val="009733E4"/>
    <w:rsid w:val="00B8564E"/>
    <w:rsid w:val="00C6251F"/>
    <w:rsid w:val="00CA601F"/>
    <w:rsid w:val="00EC12D8"/>
    <w:rsid w:val="00F22149"/>
    <w:rsid w:val="00F4199A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B2EC7C"/>
  <w15:docId w15:val="{42307B46-4783-4918-84A4-91D4C772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99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199A"/>
    <w:rPr>
      <w:color w:val="0000FF"/>
      <w:u w:val="single"/>
    </w:rPr>
  </w:style>
  <w:style w:type="paragraph" w:styleId="Footer">
    <w:name w:val="footer"/>
    <w:basedOn w:val="Normal"/>
    <w:link w:val="FooterChar"/>
    <w:rsid w:val="00F4199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1DD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6251F"/>
    <w:rPr>
      <w:sz w:val="24"/>
      <w:szCs w:val="24"/>
      <w:lang w:eastAsia="en-US"/>
    </w:rPr>
  </w:style>
  <w:style w:type="character" w:styleId="PageNumber">
    <w:name w:val="page number"/>
    <w:rsid w:val="00C6251F"/>
  </w:style>
  <w:style w:type="paragraph" w:customStyle="1" w:styleId="MainBody">
    <w:name w:val="MainBody"/>
    <w:basedOn w:val="Normal"/>
    <w:link w:val="MainBodyChar1"/>
    <w:qFormat/>
    <w:rsid w:val="004F057F"/>
    <w:pPr>
      <w:autoSpaceDE w:val="0"/>
      <w:autoSpaceDN w:val="0"/>
      <w:adjustRightInd w:val="0"/>
      <w:spacing w:before="120" w:after="120"/>
      <w:ind w:left="851"/>
    </w:pPr>
    <w:rPr>
      <w:rFonts w:ascii="Arial" w:hAnsi="Arial" w:cs="Arial"/>
      <w:color w:val="000000"/>
      <w:lang w:eastAsia="en-GB"/>
    </w:rPr>
  </w:style>
  <w:style w:type="character" w:customStyle="1" w:styleId="MainBodyChar1">
    <w:name w:val="MainBody Char1"/>
    <w:link w:val="MainBody"/>
    <w:rsid w:val="004F057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t@suffolk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ffolklearning.co.uk/leadership-staff-development/schools-accountancy/finance-regulatio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COUNCIL - SCHOOLS’ MUTUAL LOAN FUNDED FROM REVENUE APPLICATION FORM</vt:lpstr>
    </vt:vector>
  </TitlesOfParts>
  <Company>Home</Company>
  <LinksUpToDate>false</LinksUpToDate>
  <CharactersWithSpaces>2130</CharactersWithSpaces>
  <SharedDoc>false</SharedDoc>
  <HLinks>
    <vt:vector size="6" baseType="variant">
      <vt:variant>
        <vt:i4>1048699</vt:i4>
      </vt:variant>
      <vt:variant>
        <vt:i4>0</vt:i4>
      </vt:variant>
      <vt:variant>
        <vt:i4>0</vt:i4>
      </vt:variant>
      <vt:variant>
        <vt:i4>5</vt:i4>
      </vt:variant>
      <vt:variant>
        <vt:lpwstr>mailto:sat@suffolk.gov.uk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COUNCIL - SCHOOLS’ MUTUAL LOAN FUNDED FROM REVENUE APPLICATION FORM</dc:title>
  <dc:creator>Michael Quinton</dc:creator>
  <cp:lastModifiedBy>Ben Scarfe</cp:lastModifiedBy>
  <cp:revision>2</cp:revision>
  <cp:lastPrinted>2015-03-02T10:16:00Z</cp:lastPrinted>
  <dcterms:created xsi:type="dcterms:W3CDTF">2021-07-29T11:23:00Z</dcterms:created>
  <dcterms:modified xsi:type="dcterms:W3CDTF">2021-07-29T11:23:00Z</dcterms:modified>
</cp:coreProperties>
</file>