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A4D" w14:textId="77777777" w:rsidR="00C72FF5" w:rsidRDefault="00C72FF5" w:rsidP="00C72FF5">
      <w:pPr>
        <w:pStyle w:val="Head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439121" w14:textId="0E9D9404" w:rsidR="00C72FF5" w:rsidRDefault="00676FB5" w:rsidP="00C72FF5">
      <w:pPr>
        <w:pStyle w:val="Header"/>
        <w:rPr>
          <w:rFonts w:ascii="Arial" w:hAnsi="Arial" w:cs="Arial"/>
          <w:b/>
          <w:bCs/>
          <w:sz w:val="28"/>
          <w:szCs w:val="28"/>
          <w:u w:val="single"/>
        </w:rPr>
      </w:pPr>
      <w:r w:rsidRPr="00CE4493">
        <w:rPr>
          <w:noProof/>
        </w:rPr>
        <w:drawing>
          <wp:inline distT="0" distB="0" distL="0" distR="0" wp14:anchorId="4F0ACDEE" wp14:editId="25AD90ED">
            <wp:extent cx="1181100" cy="361950"/>
            <wp:effectExtent l="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391EF" w14:textId="77777777" w:rsidR="00C72FF5" w:rsidRDefault="00C72FF5" w:rsidP="00C72FF5">
      <w:pPr>
        <w:pStyle w:val="Head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A2235E" w14:textId="77777777" w:rsidR="00C72FF5" w:rsidRDefault="00797EBA" w:rsidP="00C72FF5">
      <w:pPr>
        <w:pStyle w:val="Header"/>
      </w:pPr>
      <w:r w:rsidRPr="00C72FF5">
        <w:rPr>
          <w:rFonts w:ascii="Arial" w:hAnsi="Arial" w:cs="Arial"/>
          <w:b/>
          <w:bCs/>
          <w:sz w:val="28"/>
          <w:szCs w:val="28"/>
          <w:u w:val="single"/>
        </w:rPr>
        <w:t>Frequently Asked Finance Questions raised by Schools</w:t>
      </w:r>
      <w:r w:rsidR="00360980" w:rsidRPr="00C72FF5">
        <w:rPr>
          <w:rFonts w:ascii="Arial" w:hAnsi="Arial" w:cs="Arial"/>
          <w:b/>
          <w:bCs/>
          <w:sz w:val="28"/>
          <w:szCs w:val="28"/>
        </w:rPr>
        <w:t xml:space="preserve"> </w:t>
      </w:r>
      <w:r w:rsidR="00C366D2" w:rsidRPr="00C72FF5">
        <w:rPr>
          <w:rFonts w:ascii="Arial" w:hAnsi="Arial" w:cs="Arial"/>
          <w:b/>
          <w:bCs/>
          <w:sz w:val="28"/>
          <w:szCs w:val="28"/>
          <w:u w:val="single"/>
        </w:rPr>
        <w:t>Capital</w:t>
      </w:r>
      <w:r w:rsidR="000F6D80" w:rsidRPr="00C72FF5">
        <w:rPr>
          <w:rFonts w:ascii="Arial" w:hAnsi="Arial" w:cs="Arial"/>
          <w:b/>
          <w:bCs/>
          <w:u w:val="single"/>
        </w:rPr>
        <w:t xml:space="preserve"> </w:t>
      </w:r>
      <w:r w:rsidR="000F6D80">
        <w:rPr>
          <w:b/>
          <w:bCs/>
          <w:u w:val="single"/>
        </w:rPr>
        <w:t xml:space="preserve">  </w:t>
      </w:r>
      <w:r w:rsidR="00360980" w:rsidRPr="00360980">
        <w:rPr>
          <w:b/>
          <w:bCs/>
          <w:sz w:val="28"/>
          <w:szCs w:val="28"/>
        </w:rPr>
        <w:t xml:space="preserve">       </w:t>
      </w:r>
    </w:p>
    <w:p w14:paraId="153380B4" w14:textId="77777777" w:rsidR="00360980" w:rsidRDefault="00360980" w:rsidP="00360980">
      <w:pPr>
        <w:tabs>
          <w:tab w:val="left" w:pos="1605"/>
        </w:tabs>
        <w:rPr>
          <w:b/>
          <w:bCs/>
          <w:sz w:val="24"/>
          <w:szCs w:val="24"/>
          <w:u w:val="single"/>
        </w:rPr>
      </w:pPr>
      <w:r w:rsidRPr="00360980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3DD42A9" w14:textId="77777777" w:rsidR="00360980" w:rsidRDefault="00360980" w:rsidP="00360980">
      <w:pPr>
        <w:tabs>
          <w:tab w:val="left" w:pos="1605"/>
        </w:tabs>
        <w:rPr>
          <w:b/>
          <w:bCs/>
          <w:sz w:val="24"/>
          <w:szCs w:val="24"/>
          <w:u w:val="single"/>
        </w:rPr>
      </w:pPr>
    </w:p>
    <w:p w14:paraId="0A5330B7" w14:textId="77777777" w:rsidR="00542F21" w:rsidRDefault="00544944" w:rsidP="00360980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Electronic Schools’ Post </w:t>
      </w:r>
    </w:p>
    <w:p w14:paraId="34809A26" w14:textId="77777777" w:rsidR="000F6D80" w:rsidRPr="00360980" w:rsidRDefault="000F6D80" w:rsidP="00360980">
      <w:pPr>
        <w:tabs>
          <w:tab w:val="left" w:pos="1605"/>
        </w:tabs>
        <w:rPr>
          <w:b/>
          <w:bCs/>
          <w:sz w:val="28"/>
          <w:u w:val="single"/>
        </w:rPr>
      </w:pPr>
    </w:p>
    <w:p w14:paraId="44A66A16" w14:textId="77777777" w:rsidR="00542F21" w:rsidRDefault="00542F2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4050"/>
        <w:gridCol w:w="5090"/>
      </w:tblGrid>
      <w:tr w:rsidR="00542F21" w14:paraId="5DC60E07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  <w:shd w:val="clear" w:color="auto" w:fill="CCFFCC"/>
          </w:tcPr>
          <w:p w14:paraId="3F40B65E" w14:textId="77777777" w:rsidR="00542F21" w:rsidRDefault="00542F21">
            <w:pPr>
              <w:jc w:val="center"/>
              <w:rPr>
                <w:b/>
                <w:bCs/>
              </w:rPr>
            </w:pPr>
          </w:p>
          <w:p w14:paraId="30A10EF6" w14:textId="77777777" w:rsidR="00542F21" w:rsidRDefault="0054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Importance etc.</w:t>
            </w:r>
          </w:p>
          <w:p w14:paraId="2DC7D2E7" w14:textId="77777777" w:rsidR="00607EA4" w:rsidRDefault="00607EA4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  <w:shd w:val="clear" w:color="auto" w:fill="CCFFCC"/>
          </w:tcPr>
          <w:p w14:paraId="65F2B218" w14:textId="77777777" w:rsidR="00542F21" w:rsidRDefault="00542F21">
            <w:pPr>
              <w:jc w:val="center"/>
              <w:rPr>
                <w:b/>
                <w:bCs/>
              </w:rPr>
            </w:pPr>
          </w:p>
          <w:p w14:paraId="2AA73C2E" w14:textId="77777777" w:rsidR="00542F21" w:rsidRDefault="0054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  <w:p w14:paraId="6CBC750B" w14:textId="77777777" w:rsidR="00542F21" w:rsidRDefault="00542F21">
            <w:pPr>
              <w:jc w:val="center"/>
              <w:rPr>
                <w:b/>
                <w:bCs/>
              </w:rPr>
            </w:pPr>
          </w:p>
        </w:tc>
        <w:tc>
          <w:tcPr>
            <w:tcW w:w="5090" w:type="dxa"/>
            <w:shd w:val="clear" w:color="auto" w:fill="CCFFCC"/>
          </w:tcPr>
          <w:p w14:paraId="14E31A04" w14:textId="77777777" w:rsidR="00542F21" w:rsidRDefault="00542F21">
            <w:pPr>
              <w:jc w:val="center"/>
              <w:rPr>
                <w:b/>
                <w:bCs/>
              </w:rPr>
            </w:pPr>
          </w:p>
          <w:p w14:paraId="6769B809" w14:textId="77777777" w:rsidR="00542F21" w:rsidRDefault="00542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</w:tr>
      <w:tr w:rsidR="00E2394F" w14:paraId="28B45F2C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12151DCE" w14:textId="77777777" w:rsidR="00E2394F" w:rsidRDefault="00E2394F" w:rsidP="00E2394F">
            <w:pPr>
              <w:jc w:val="center"/>
            </w:pPr>
          </w:p>
          <w:p w14:paraId="4F251398" w14:textId="77777777" w:rsidR="00E2394F" w:rsidRDefault="00E2394F" w:rsidP="00E2394F">
            <w:pPr>
              <w:pStyle w:val="Heading2"/>
            </w:pPr>
            <w:r>
              <w:t>For Information</w:t>
            </w:r>
          </w:p>
          <w:p w14:paraId="5C6D8B0E" w14:textId="77777777" w:rsidR="00E2394F" w:rsidRDefault="00E2394F" w:rsidP="00E2394F">
            <w:pPr>
              <w:jc w:val="center"/>
              <w:rPr>
                <w:b/>
                <w:bCs/>
              </w:rPr>
            </w:pPr>
          </w:p>
          <w:p w14:paraId="717C73F2" w14:textId="77777777" w:rsidR="00E2394F" w:rsidRDefault="00E2394F" w:rsidP="00E2394F">
            <w:pPr>
              <w:jc w:val="center"/>
              <w:rPr>
                <w:bCs/>
              </w:rPr>
            </w:pPr>
            <w:r>
              <w:rPr>
                <w:bCs/>
              </w:rPr>
              <w:t>All schools</w:t>
            </w:r>
          </w:p>
          <w:p w14:paraId="4E78FF47" w14:textId="77777777" w:rsidR="00E2394F" w:rsidRDefault="00E2394F">
            <w:pPr>
              <w:jc w:val="center"/>
            </w:pPr>
          </w:p>
        </w:tc>
        <w:tc>
          <w:tcPr>
            <w:tcW w:w="4050" w:type="dxa"/>
          </w:tcPr>
          <w:p w14:paraId="12E62415" w14:textId="77777777" w:rsidR="00E2394F" w:rsidRDefault="00E2394F">
            <w:pPr>
              <w:rPr>
                <w:rFonts w:ascii="Arial" w:hAnsi="Arial" w:cs="Arial"/>
                <w:b/>
                <w:lang w:eastAsia="en-GB"/>
              </w:rPr>
            </w:pPr>
          </w:p>
          <w:p w14:paraId="2202F294" w14:textId="77777777" w:rsidR="00E2394F" w:rsidRDefault="00E2394F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How do I know whether an item of expenditure is capital or revenue?</w:t>
            </w:r>
          </w:p>
        </w:tc>
        <w:tc>
          <w:tcPr>
            <w:tcW w:w="5090" w:type="dxa"/>
          </w:tcPr>
          <w:p w14:paraId="6620CD0A" w14:textId="77777777" w:rsidR="00E2394F" w:rsidRDefault="00E2394F"/>
          <w:p w14:paraId="1366D818" w14:textId="77777777" w:rsidR="00E2394F" w:rsidRDefault="00E2394F">
            <w:r>
              <w:t xml:space="preserve">Further guidance can be found in the </w:t>
            </w:r>
            <w:hyperlink r:id="rId6" w:history="1">
              <w:r w:rsidRPr="00E2394F">
                <w:rPr>
                  <w:rStyle w:val="Hyperlink"/>
                </w:rPr>
                <w:t>capit</w:t>
              </w:r>
              <w:r w:rsidRPr="00E2394F">
                <w:rPr>
                  <w:rStyle w:val="Hyperlink"/>
                </w:rPr>
                <w:t>a</w:t>
              </w:r>
              <w:r w:rsidRPr="00E2394F">
                <w:rPr>
                  <w:rStyle w:val="Hyperlink"/>
                </w:rPr>
                <w:t>l</w:t>
              </w:r>
              <w:r w:rsidRPr="00E2394F">
                <w:rPr>
                  <w:rStyle w:val="Hyperlink"/>
                </w:rPr>
                <w:t xml:space="preserve"> section</w:t>
              </w:r>
            </w:hyperlink>
            <w:r>
              <w:t xml:space="preserve"> of </w:t>
            </w:r>
            <w:r w:rsidRPr="00E2394F">
              <w:t>SchoolSurf</w:t>
            </w:r>
            <w:r>
              <w:t xml:space="preserve"> and LMS document </w:t>
            </w:r>
            <w:r w:rsidR="00CA5F1B" w:rsidRPr="00C72FF5">
              <w:t>20</w:t>
            </w:r>
            <w:r w:rsidR="00CA5F1B" w:rsidRPr="00C72FF5">
              <w:t>1</w:t>
            </w:r>
            <w:r w:rsidR="00CA5F1B" w:rsidRPr="00C72FF5">
              <w:t>1/27</w:t>
            </w:r>
            <w:r>
              <w:t>.</w:t>
            </w:r>
          </w:p>
          <w:p w14:paraId="6B7CD3ED" w14:textId="77777777" w:rsidR="00E2394F" w:rsidRDefault="00E2394F">
            <w:r>
              <w:t>If you are still unsure of the classification please email the details through to the Corporate Finance Team on</w:t>
            </w:r>
            <w:r w:rsidR="00C63D2D">
              <w:t xml:space="preserve"> </w:t>
            </w:r>
            <w:hyperlink r:id="rId7" w:history="1">
              <w:r w:rsidR="00C63D2D" w:rsidRPr="00287B4F">
                <w:rPr>
                  <w:rStyle w:val="Hyperlink"/>
                </w:rPr>
                <w:t>financestrageyandaccounts@suffolk.gov.uk</w:t>
              </w:r>
            </w:hyperlink>
            <w:r w:rsidR="00C63D2D">
              <w:t xml:space="preserve"> </w:t>
            </w:r>
          </w:p>
          <w:p w14:paraId="2EDB28AE" w14:textId="77777777" w:rsidR="00E2394F" w:rsidRPr="00E2394F" w:rsidRDefault="00E2394F"/>
        </w:tc>
      </w:tr>
      <w:tr w:rsidR="00542F21" w14:paraId="1E53E4BE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2AB3EB29" w14:textId="77777777" w:rsidR="00542F21" w:rsidRDefault="00542F21">
            <w:pPr>
              <w:jc w:val="center"/>
            </w:pPr>
          </w:p>
          <w:p w14:paraId="53514502" w14:textId="77777777" w:rsidR="00544944" w:rsidRDefault="00544944" w:rsidP="00544944">
            <w:pPr>
              <w:pStyle w:val="Heading2"/>
            </w:pPr>
            <w:r>
              <w:t>For Information</w:t>
            </w:r>
          </w:p>
          <w:p w14:paraId="6FD131A5" w14:textId="77777777" w:rsidR="00544944" w:rsidRDefault="00544944" w:rsidP="00544944">
            <w:pPr>
              <w:jc w:val="center"/>
              <w:rPr>
                <w:b/>
                <w:bCs/>
              </w:rPr>
            </w:pPr>
          </w:p>
          <w:p w14:paraId="476A7190" w14:textId="77777777" w:rsidR="00544944" w:rsidRDefault="00544944" w:rsidP="00544944">
            <w:pPr>
              <w:jc w:val="center"/>
              <w:rPr>
                <w:bCs/>
              </w:rPr>
            </w:pPr>
            <w:r>
              <w:rPr>
                <w:bCs/>
              </w:rPr>
              <w:t>All schools</w:t>
            </w:r>
          </w:p>
          <w:p w14:paraId="59938D6F" w14:textId="77777777" w:rsidR="00544944" w:rsidRDefault="00544944">
            <w:pPr>
              <w:jc w:val="center"/>
            </w:pPr>
          </w:p>
        </w:tc>
        <w:tc>
          <w:tcPr>
            <w:tcW w:w="4050" w:type="dxa"/>
          </w:tcPr>
          <w:p w14:paraId="0CA5B94A" w14:textId="77777777" w:rsidR="00544944" w:rsidRDefault="00544944" w:rsidP="007C44C5">
            <w:pPr>
              <w:rPr>
                <w:b/>
              </w:rPr>
            </w:pPr>
          </w:p>
          <w:p w14:paraId="4CC1F6D1" w14:textId="77777777" w:rsidR="006C3C4D" w:rsidRPr="00544944" w:rsidRDefault="006C3C4D" w:rsidP="007C44C5">
            <w:pPr>
              <w:rPr>
                <w:b/>
              </w:rPr>
            </w:pPr>
            <w:r>
              <w:rPr>
                <w:b/>
              </w:rPr>
              <w:t>We intend to redecorate the school hall, c</w:t>
            </w:r>
            <w:r w:rsidR="0071107C">
              <w:rPr>
                <w:b/>
              </w:rPr>
              <w:t>ould</w:t>
            </w:r>
            <w:r>
              <w:rPr>
                <w:b/>
              </w:rPr>
              <w:t xml:space="preserve"> this be charged to capital?</w:t>
            </w:r>
          </w:p>
        </w:tc>
        <w:tc>
          <w:tcPr>
            <w:tcW w:w="5090" w:type="dxa"/>
          </w:tcPr>
          <w:p w14:paraId="48268CD6" w14:textId="77777777" w:rsidR="00544944" w:rsidRDefault="00544944"/>
          <w:p w14:paraId="09F5D094" w14:textId="77777777" w:rsidR="00FC65FC" w:rsidRDefault="006C3C4D">
            <w:r>
              <w:t>No, this is classed as maintenance and should be charged to revenue.</w:t>
            </w:r>
          </w:p>
          <w:p w14:paraId="364F6148" w14:textId="77777777" w:rsidR="00FC65FC" w:rsidRDefault="00FC65FC"/>
        </w:tc>
      </w:tr>
      <w:tr w:rsidR="00542F21" w14:paraId="429E636B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137B21D8" w14:textId="77777777" w:rsidR="00542F21" w:rsidRDefault="00542F21">
            <w:pPr>
              <w:jc w:val="center"/>
              <w:rPr>
                <w:b/>
                <w:bCs/>
              </w:rPr>
            </w:pPr>
          </w:p>
          <w:p w14:paraId="75CE269E" w14:textId="77777777" w:rsidR="00DA4197" w:rsidRDefault="00DA4197" w:rsidP="00DA4197">
            <w:pPr>
              <w:pStyle w:val="Heading2"/>
            </w:pPr>
            <w:r>
              <w:t>For Information</w:t>
            </w:r>
          </w:p>
          <w:p w14:paraId="00AC82B9" w14:textId="77777777" w:rsidR="00DA4197" w:rsidRDefault="00DA4197" w:rsidP="00DA4197">
            <w:pPr>
              <w:jc w:val="center"/>
              <w:rPr>
                <w:b/>
                <w:bCs/>
              </w:rPr>
            </w:pPr>
          </w:p>
          <w:p w14:paraId="751FA87A" w14:textId="77777777" w:rsidR="00DA4197" w:rsidRDefault="00DA4197" w:rsidP="00DA4197">
            <w:pPr>
              <w:jc w:val="center"/>
              <w:rPr>
                <w:bCs/>
              </w:rPr>
            </w:pPr>
            <w:r>
              <w:rPr>
                <w:bCs/>
              </w:rPr>
              <w:t>All schools</w:t>
            </w:r>
          </w:p>
          <w:p w14:paraId="5A8F5624" w14:textId="77777777" w:rsidR="00544944" w:rsidRDefault="00544944" w:rsidP="00735551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14:paraId="47E89831" w14:textId="77777777" w:rsidR="00542F21" w:rsidRDefault="00542F21">
            <w:pPr>
              <w:autoSpaceDE w:val="0"/>
              <w:autoSpaceDN w:val="0"/>
              <w:adjustRightInd w:val="0"/>
            </w:pPr>
          </w:p>
          <w:p w14:paraId="412365F8" w14:textId="77777777" w:rsidR="00FC4BC6" w:rsidRDefault="00E36FED" w:rsidP="00C366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We</w:t>
            </w:r>
            <w:r w:rsidR="00FC65FC">
              <w:rPr>
                <w:b/>
              </w:rPr>
              <w:t xml:space="preserve"> have purchased a new projector</w:t>
            </w:r>
            <w:r w:rsidR="00FC4BC6">
              <w:rPr>
                <w:b/>
              </w:rPr>
              <w:t xml:space="preserve"> which has been charged to capital but I am unsure whether the mounting kit, cables and delivery charge can also be charged to capital?</w:t>
            </w:r>
          </w:p>
          <w:p w14:paraId="060BB097" w14:textId="77777777" w:rsidR="008D4BF2" w:rsidRPr="00DA4197" w:rsidRDefault="00FC65FC" w:rsidP="00C366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90" w:type="dxa"/>
          </w:tcPr>
          <w:p w14:paraId="09824E00" w14:textId="77777777" w:rsidR="00542F21" w:rsidRDefault="00542F21">
            <w:pPr>
              <w:rPr>
                <w:b/>
                <w:bCs/>
              </w:rPr>
            </w:pPr>
          </w:p>
          <w:p w14:paraId="66F711DE" w14:textId="77777777" w:rsidR="00C366D2" w:rsidRDefault="00373B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Yes, a</w:t>
            </w:r>
            <w:r w:rsidR="00574C99">
              <w:rPr>
                <w:rFonts w:ascii="Arial" w:hAnsi="Arial" w:cs="Arial"/>
                <w:lang w:eastAsia="en-GB"/>
              </w:rPr>
              <w:t xml:space="preserve">ny costs for goods or services required to bring an asset into use </w:t>
            </w:r>
            <w:r w:rsidR="00466C93">
              <w:rPr>
                <w:rFonts w:ascii="Arial" w:hAnsi="Arial" w:cs="Arial"/>
                <w:lang w:eastAsia="en-GB"/>
              </w:rPr>
              <w:t xml:space="preserve">can be charged to capital, therefore as the mounting kit, cables </w:t>
            </w:r>
            <w:r w:rsidR="00E36FED">
              <w:rPr>
                <w:rFonts w:ascii="Arial" w:hAnsi="Arial" w:cs="Arial"/>
                <w:lang w:eastAsia="en-GB"/>
              </w:rPr>
              <w:t xml:space="preserve">and delivery are costs required to bring the asset into use </w:t>
            </w:r>
            <w:r>
              <w:rPr>
                <w:rFonts w:ascii="Arial" w:hAnsi="Arial" w:cs="Arial"/>
                <w:lang w:eastAsia="en-GB"/>
              </w:rPr>
              <w:t>these can be charged to capital.</w:t>
            </w:r>
          </w:p>
          <w:p w14:paraId="2F755082" w14:textId="77777777" w:rsidR="00735551" w:rsidRPr="008D4BF2" w:rsidRDefault="00735551">
            <w:pPr>
              <w:rPr>
                <w:bCs/>
              </w:rPr>
            </w:pPr>
          </w:p>
        </w:tc>
      </w:tr>
      <w:tr w:rsidR="00C366D2" w14:paraId="54384A0A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5158D1B1" w14:textId="77777777" w:rsidR="00C366D2" w:rsidRDefault="00C366D2">
            <w:pPr>
              <w:jc w:val="center"/>
              <w:rPr>
                <w:b/>
                <w:bCs/>
              </w:rPr>
            </w:pPr>
          </w:p>
          <w:p w14:paraId="57715AA0" w14:textId="77777777" w:rsidR="00C366D2" w:rsidRDefault="00C366D2" w:rsidP="00C366D2">
            <w:pPr>
              <w:pStyle w:val="Heading2"/>
            </w:pPr>
            <w:r>
              <w:t>For Information</w:t>
            </w:r>
          </w:p>
          <w:p w14:paraId="32AE9879" w14:textId="77777777" w:rsidR="00C366D2" w:rsidRDefault="00C366D2" w:rsidP="00C366D2">
            <w:pPr>
              <w:jc w:val="center"/>
              <w:rPr>
                <w:b/>
                <w:bCs/>
              </w:rPr>
            </w:pPr>
          </w:p>
          <w:p w14:paraId="6F1C2675" w14:textId="77777777" w:rsidR="00C366D2" w:rsidRDefault="00C366D2" w:rsidP="00C366D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All schools</w:t>
            </w:r>
          </w:p>
          <w:p w14:paraId="25FC41CE" w14:textId="77777777" w:rsidR="00C366D2" w:rsidRDefault="00C366D2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59753382" w14:textId="77777777" w:rsidR="00C366D2" w:rsidRDefault="00C366D2">
            <w:pPr>
              <w:autoSpaceDE w:val="0"/>
              <w:autoSpaceDN w:val="0"/>
              <w:adjustRightInd w:val="0"/>
            </w:pPr>
          </w:p>
          <w:p w14:paraId="0045DA7F" w14:textId="77777777" w:rsidR="00C366D2" w:rsidRPr="00E36FED" w:rsidRDefault="00E36FED" w:rsidP="007C44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Our school roof is leaking and needs repairing, can we charge this to capital?</w:t>
            </w:r>
          </w:p>
        </w:tc>
        <w:tc>
          <w:tcPr>
            <w:tcW w:w="5090" w:type="dxa"/>
          </w:tcPr>
          <w:p w14:paraId="12DBEC91" w14:textId="77777777" w:rsidR="00C366D2" w:rsidRDefault="00C366D2">
            <w:pPr>
              <w:rPr>
                <w:bCs/>
              </w:rPr>
            </w:pPr>
          </w:p>
          <w:p w14:paraId="1A0F3386" w14:textId="77777777" w:rsidR="00E36FED" w:rsidRPr="00E36FED" w:rsidRDefault="00E36FED">
            <w:pPr>
              <w:rPr>
                <w:bCs/>
              </w:rPr>
            </w:pPr>
            <w:r>
              <w:rPr>
                <w:bCs/>
              </w:rPr>
              <w:t>No</w:t>
            </w:r>
            <w:r w:rsidR="00A740B2">
              <w:rPr>
                <w:bCs/>
              </w:rPr>
              <w:t>,</w:t>
            </w:r>
            <w:r>
              <w:rPr>
                <w:bCs/>
              </w:rPr>
              <w:t xml:space="preserve"> as the roof is merely being repaired this can not be charged to capital.</w:t>
            </w:r>
            <w:r w:rsidR="00710742">
              <w:rPr>
                <w:bCs/>
              </w:rPr>
              <w:t xml:space="preserve">  However, if this was a new roof rather that just a repair this could be charged to capital</w:t>
            </w:r>
          </w:p>
        </w:tc>
      </w:tr>
      <w:tr w:rsidR="00A740B2" w14:paraId="7B6EF954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0E7D5408" w14:textId="77777777" w:rsidR="00A740B2" w:rsidRDefault="00A740B2" w:rsidP="00A740B2">
            <w:pPr>
              <w:jc w:val="center"/>
              <w:rPr>
                <w:b/>
                <w:bCs/>
              </w:rPr>
            </w:pPr>
          </w:p>
          <w:p w14:paraId="790D8042" w14:textId="77777777" w:rsidR="00A740B2" w:rsidRDefault="00A740B2" w:rsidP="00A740B2">
            <w:pPr>
              <w:pStyle w:val="Heading2"/>
            </w:pPr>
            <w:r>
              <w:t>For Information</w:t>
            </w:r>
          </w:p>
          <w:p w14:paraId="15FE5D83" w14:textId="77777777" w:rsidR="00A740B2" w:rsidRDefault="00A740B2" w:rsidP="00A740B2">
            <w:pPr>
              <w:jc w:val="center"/>
              <w:rPr>
                <w:b/>
                <w:bCs/>
              </w:rPr>
            </w:pPr>
          </w:p>
          <w:p w14:paraId="5A56360B" w14:textId="77777777" w:rsidR="00A740B2" w:rsidRDefault="00A740B2" w:rsidP="00A740B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All schools</w:t>
            </w:r>
          </w:p>
          <w:p w14:paraId="38641A77" w14:textId="77777777" w:rsidR="00A740B2" w:rsidRDefault="00A740B2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7358123B" w14:textId="77777777" w:rsidR="00A740B2" w:rsidRDefault="00A740B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4C05AD2" w14:textId="77777777" w:rsidR="00A740B2" w:rsidRDefault="00A740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We are purchasing a replacement cable for one of our laptops can this be charged to capital?</w:t>
            </w:r>
          </w:p>
        </w:tc>
        <w:tc>
          <w:tcPr>
            <w:tcW w:w="5090" w:type="dxa"/>
          </w:tcPr>
          <w:p w14:paraId="3268E7A8" w14:textId="77777777" w:rsidR="00A740B2" w:rsidRDefault="00A740B2">
            <w:pPr>
              <w:rPr>
                <w:bCs/>
              </w:rPr>
            </w:pPr>
          </w:p>
          <w:p w14:paraId="7D8BE8CD" w14:textId="77777777" w:rsidR="00A740B2" w:rsidRDefault="00A740B2">
            <w:pPr>
              <w:rPr>
                <w:bCs/>
              </w:rPr>
            </w:pPr>
            <w:r>
              <w:rPr>
                <w:bCs/>
              </w:rPr>
              <w:t xml:space="preserve">No, </w:t>
            </w:r>
            <w:r w:rsidR="001C2AE0">
              <w:rPr>
                <w:bCs/>
              </w:rPr>
              <w:t>as this is a replacement cable it can not be charged to capital.</w:t>
            </w:r>
          </w:p>
        </w:tc>
      </w:tr>
      <w:tr w:rsidR="00E2394F" w14:paraId="72271563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6B600B44" w14:textId="77777777" w:rsidR="00E2394F" w:rsidRDefault="00E2394F" w:rsidP="00E2394F">
            <w:pPr>
              <w:jc w:val="center"/>
              <w:rPr>
                <w:b/>
                <w:bCs/>
              </w:rPr>
            </w:pPr>
          </w:p>
          <w:p w14:paraId="5E9D245D" w14:textId="77777777" w:rsidR="00E2394F" w:rsidRDefault="00E2394F" w:rsidP="00E2394F">
            <w:pPr>
              <w:pStyle w:val="Heading2"/>
            </w:pPr>
            <w:r>
              <w:t>For Information</w:t>
            </w:r>
          </w:p>
          <w:p w14:paraId="4D88FCF2" w14:textId="77777777" w:rsidR="00E2394F" w:rsidRDefault="00E2394F" w:rsidP="00E2394F">
            <w:pPr>
              <w:jc w:val="center"/>
              <w:rPr>
                <w:b/>
                <w:bCs/>
              </w:rPr>
            </w:pPr>
          </w:p>
          <w:p w14:paraId="1B5C9EBE" w14:textId="77777777" w:rsidR="00E2394F" w:rsidRDefault="00E2394F" w:rsidP="00E2394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All schools</w:t>
            </w:r>
          </w:p>
          <w:p w14:paraId="4B4295CC" w14:textId="77777777" w:rsidR="00E2394F" w:rsidRDefault="00E2394F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5479847B" w14:textId="77777777" w:rsidR="00E2394F" w:rsidRDefault="00E2394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4DC4690" w14:textId="77777777" w:rsidR="002E3F97" w:rsidRDefault="007110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We are in the process of </w:t>
            </w:r>
            <w:r w:rsidR="00F61812">
              <w:rPr>
                <w:b/>
              </w:rPr>
              <w:t>re</w:t>
            </w:r>
            <w:r>
              <w:rPr>
                <w:b/>
              </w:rPr>
              <w:t xml:space="preserve">planting our </w:t>
            </w:r>
            <w:r w:rsidR="00F61812">
              <w:rPr>
                <w:b/>
              </w:rPr>
              <w:t xml:space="preserve">raised </w:t>
            </w:r>
            <w:r>
              <w:rPr>
                <w:b/>
              </w:rPr>
              <w:t xml:space="preserve">beds with </w:t>
            </w:r>
            <w:r w:rsidR="00F61812">
              <w:rPr>
                <w:b/>
              </w:rPr>
              <w:t>shrubs</w:t>
            </w:r>
            <w:r>
              <w:rPr>
                <w:b/>
              </w:rPr>
              <w:t xml:space="preserve"> and flowers</w:t>
            </w:r>
            <w:r w:rsidR="00F61812">
              <w:rPr>
                <w:b/>
              </w:rPr>
              <w:t>,</w:t>
            </w:r>
            <w:r>
              <w:rPr>
                <w:b/>
              </w:rPr>
              <w:t xml:space="preserve"> can we charge this to capital?</w:t>
            </w:r>
          </w:p>
        </w:tc>
        <w:tc>
          <w:tcPr>
            <w:tcW w:w="5090" w:type="dxa"/>
          </w:tcPr>
          <w:p w14:paraId="218BE106" w14:textId="77777777" w:rsidR="00E2394F" w:rsidRDefault="00E2394F">
            <w:pPr>
              <w:rPr>
                <w:bCs/>
              </w:rPr>
            </w:pPr>
          </w:p>
          <w:p w14:paraId="0E446D70" w14:textId="77777777" w:rsidR="00AA4B0A" w:rsidRDefault="00AA4B0A">
            <w:pPr>
              <w:rPr>
                <w:bCs/>
              </w:rPr>
            </w:pPr>
            <w:r>
              <w:rPr>
                <w:bCs/>
              </w:rPr>
              <w:t xml:space="preserve">No, this is not a valid capital expenditure item as it is </w:t>
            </w:r>
            <w:r w:rsidR="0071107C">
              <w:rPr>
                <w:bCs/>
              </w:rPr>
              <w:t xml:space="preserve">not </w:t>
            </w:r>
            <w:r w:rsidR="00F61812">
              <w:rPr>
                <w:bCs/>
              </w:rPr>
              <w:t>enhancing an existing asset.</w:t>
            </w:r>
          </w:p>
        </w:tc>
      </w:tr>
      <w:tr w:rsidR="00F9435C" w14:paraId="6E609417" w14:textId="77777777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316" w:type="dxa"/>
          </w:tcPr>
          <w:p w14:paraId="606C5D8A" w14:textId="77777777" w:rsidR="00F9435C" w:rsidRDefault="00F9435C" w:rsidP="00F9435C">
            <w:pPr>
              <w:jc w:val="center"/>
              <w:rPr>
                <w:b/>
                <w:bCs/>
              </w:rPr>
            </w:pPr>
          </w:p>
          <w:p w14:paraId="384D6A99" w14:textId="77777777" w:rsidR="00F9435C" w:rsidRDefault="00F9435C" w:rsidP="00F9435C">
            <w:pPr>
              <w:pStyle w:val="Heading2"/>
            </w:pPr>
            <w:r>
              <w:t>For Information</w:t>
            </w:r>
          </w:p>
          <w:p w14:paraId="0CFF45E7" w14:textId="77777777" w:rsidR="00F9435C" w:rsidRDefault="00F9435C" w:rsidP="00F9435C">
            <w:pPr>
              <w:jc w:val="center"/>
              <w:rPr>
                <w:b/>
                <w:bCs/>
              </w:rPr>
            </w:pPr>
          </w:p>
          <w:p w14:paraId="38296BFC" w14:textId="77777777" w:rsidR="00F9435C" w:rsidRDefault="00F9435C" w:rsidP="00F9435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All schools</w:t>
            </w:r>
          </w:p>
          <w:p w14:paraId="28207DD0" w14:textId="77777777" w:rsidR="00F9435C" w:rsidRDefault="00F9435C" w:rsidP="00AA4B0A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0187512F" w14:textId="77777777" w:rsidR="00F9435C" w:rsidRDefault="00F9435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F422987" w14:textId="77777777" w:rsidR="00F9435C" w:rsidRDefault="00373B2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For health and safety reasons we are looking to replace our changing room floor ti</w:t>
            </w:r>
            <w:r w:rsidR="0071107C">
              <w:rPr>
                <w:b/>
              </w:rPr>
              <w:t>les with new non-slip flooring, c</w:t>
            </w:r>
            <w:r>
              <w:rPr>
                <w:b/>
              </w:rPr>
              <w:t>an this be charged to capital?</w:t>
            </w:r>
          </w:p>
        </w:tc>
        <w:tc>
          <w:tcPr>
            <w:tcW w:w="5090" w:type="dxa"/>
          </w:tcPr>
          <w:p w14:paraId="683FF563" w14:textId="77777777" w:rsidR="00F9435C" w:rsidRDefault="00F9435C">
            <w:pPr>
              <w:rPr>
                <w:bCs/>
              </w:rPr>
            </w:pPr>
          </w:p>
          <w:p w14:paraId="78B5B7FE" w14:textId="77777777" w:rsidR="00373B23" w:rsidRDefault="00373B23">
            <w:pPr>
              <w:rPr>
                <w:bCs/>
              </w:rPr>
            </w:pPr>
            <w:r>
              <w:rPr>
                <w:bCs/>
              </w:rPr>
              <w:t>Yes, this is an enhancement to the existing asset and can be charged to capital. If new flooring is a direct replacement</w:t>
            </w:r>
            <w:r w:rsidR="0065532C">
              <w:rPr>
                <w:bCs/>
              </w:rPr>
              <w:t>,</w:t>
            </w:r>
            <w:r>
              <w:rPr>
                <w:bCs/>
              </w:rPr>
              <w:t xml:space="preserve"> such as the carpet in a classroom being replaced by another carpet then this should be charged to revenue.</w:t>
            </w:r>
          </w:p>
        </w:tc>
      </w:tr>
      <w:tr w:rsidR="00AA4B0A" w14:paraId="34DD2849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0A1E2A46" w14:textId="77777777" w:rsidR="00AA4B0A" w:rsidRDefault="00AA4B0A" w:rsidP="00AA4B0A">
            <w:pPr>
              <w:jc w:val="center"/>
              <w:rPr>
                <w:b/>
                <w:bCs/>
              </w:rPr>
            </w:pPr>
          </w:p>
          <w:p w14:paraId="424872E8" w14:textId="77777777" w:rsidR="00AA4B0A" w:rsidRDefault="00AA4B0A" w:rsidP="00AA4B0A">
            <w:pPr>
              <w:pStyle w:val="Heading2"/>
            </w:pPr>
            <w:r>
              <w:t>For Information</w:t>
            </w:r>
          </w:p>
          <w:p w14:paraId="706CFFF3" w14:textId="77777777" w:rsidR="00AA4B0A" w:rsidRDefault="00AA4B0A" w:rsidP="00AA4B0A">
            <w:pPr>
              <w:jc w:val="center"/>
              <w:rPr>
                <w:b/>
                <w:bCs/>
              </w:rPr>
            </w:pPr>
          </w:p>
          <w:p w14:paraId="20A40D08" w14:textId="77777777" w:rsidR="00AA4B0A" w:rsidRDefault="00AA4B0A" w:rsidP="00AA4B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All schools</w:t>
            </w:r>
          </w:p>
          <w:p w14:paraId="5094BA35" w14:textId="77777777" w:rsidR="00AA4B0A" w:rsidRDefault="00AA4B0A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14:paraId="74B855F9" w14:textId="77777777" w:rsidR="00AA4B0A" w:rsidRDefault="00AA4B0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EC71FAD" w14:textId="77777777" w:rsidR="00AA4B0A" w:rsidRDefault="00AA4B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We currently have a capital project taking place at </w:t>
            </w:r>
            <w:r w:rsidR="00D554FA">
              <w:rPr>
                <w:b/>
              </w:rPr>
              <w:t>school;</w:t>
            </w:r>
            <w:r>
              <w:rPr>
                <w:b/>
              </w:rPr>
              <w:t xml:space="preserve"> does this mean </w:t>
            </w:r>
            <w:r>
              <w:rPr>
                <w:b/>
              </w:rPr>
              <w:lastRenderedPageBreak/>
              <w:t>that we can charge items that would not normally be charged to capital to the project?</w:t>
            </w:r>
            <w:r w:rsidR="002E3F97">
              <w:rPr>
                <w:b/>
              </w:rPr>
              <w:t xml:space="preserve">  </w:t>
            </w:r>
          </w:p>
          <w:p w14:paraId="1817112F" w14:textId="77777777" w:rsidR="00D554FA" w:rsidRDefault="00D554FA" w:rsidP="0065532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7FAE9AD" w14:textId="77777777" w:rsidR="00DF793A" w:rsidRDefault="00DF793A" w:rsidP="0065532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90" w:type="dxa"/>
          </w:tcPr>
          <w:p w14:paraId="7FE37520" w14:textId="77777777" w:rsidR="00AA4B0A" w:rsidRDefault="00AA4B0A">
            <w:pPr>
              <w:rPr>
                <w:bCs/>
              </w:rPr>
            </w:pPr>
          </w:p>
          <w:p w14:paraId="54114050" w14:textId="77777777" w:rsidR="00AA4B0A" w:rsidRDefault="00AA4B0A">
            <w:pPr>
              <w:rPr>
                <w:bCs/>
              </w:rPr>
            </w:pPr>
            <w:r>
              <w:rPr>
                <w:bCs/>
              </w:rPr>
              <w:t xml:space="preserve">No, the only exception to this is if </w:t>
            </w:r>
            <w:r w:rsidR="00535B17">
              <w:rPr>
                <w:bCs/>
              </w:rPr>
              <w:t xml:space="preserve">they are costs for </w:t>
            </w:r>
            <w:r>
              <w:rPr>
                <w:bCs/>
              </w:rPr>
              <w:t xml:space="preserve">goods or services </w:t>
            </w:r>
            <w:r w:rsidR="00535B17">
              <w:rPr>
                <w:bCs/>
              </w:rPr>
              <w:t xml:space="preserve">that </w:t>
            </w:r>
            <w:r>
              <w:rPr>
                <w:bCs/>
              </w:rPr>
              <w:t xml:space="preserve">are required to bring a new </w:t>
            </w:r>
            <w:r>
              <w:rPr>
                <w:bCs/>
              </w:rPr>
              <w:lastRenderedPageBreak/>
              <w:t>asset into use</w:t>
            </w:r>
            <w:r w:rsidR="00D554FA">
              <w:rPr>
                <w:bCs/>
              </w:rPr>
              <w:t>.</w:t>
            </w:r>
          </w:p>
        </w:tc>
      </w:tr>
      <w:tr w:rsidR="00DF793A" w14:paraId="62D90D97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235F4F97" w14:textId="77777777" w:rsidR="00DF793A" w:rsidRDefault="00DF793A" w:rsidP="00AA4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 Information</w:t>
            </w:r>
          </w:p>
          <w:p w14:paraId="1A7D09E2" w14:textId="77777777" w:rsidR="00DF793A" w:rsidRPr="00DF793A" w:rsidRDefault="00DF793A" w:rsidP="00AA4B0A">
            <w:pPr>
              <w:jc w:val="center"/>
              <w:rPr>
                <w:bCs/>
              </w:rPr>
            </w:pPr>
          </w:p>
          <w:p w14:paraId="49F0D527" w14:textId="77777777" w:rsidR="00DF793A" w:rsidRDefault="00DF793A" w:rsidP="00AA4B0A">
            <w:pPr>
              <w:jc w:val="center"/>
              <w:rPr>
                <w:b/>
                <w:bCs/>
              </w:rPr>
            </w:pPr>
            <w:r w:rsidRPr="00DF793A">
              <w:rPr>
                <w:bCs/>
              </w:rPr>
              <w:t>All schools</w:t>
            </w:r>
          </w:p>
        </w:tc>
        <w:tc>
          <w:tcPr>
            <w:tcW w:w="4050" w:type="dxa"/>
          </w:tcPr>
          <w:p w14:paraId="372E1FE5" w14:textId="77777777" w:rsidR="00DF793A" w:rsidRDefault="00DF79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We are currently purchasing a minibus with another school – how do we transfer the capital or revenue income to the purchasing school?</w:t>
            </w:r>
          </w:p>
        </w:tc>
        <w:tc>
          <w:tcPr>
            <w:tcW w:w="5090" w:type="dxa"/>
          </w:tcPr>
          <w:p w14:paraId="7F8A6F27" w14:textId="77777777" w:rsidR="00DF793A" w:rsidRDefault="00DF793A" w:rsidP="00DF793A">
            <w:r>
              <w:rPr>
                <w:bCs/>
              </w:rPr>
              <w:t>Email</w:t>
            </w:r>
            <w:r>
              <w:t xml:space="preserve"> the details to the Corporate Finance Team on</w:t>
            </w:r>
            <w:r w:rsidR="00C63D2D">
              <w:t xml:space="preserve"> </w:t>
            </w:r>
            <w:hyperlink r:id="rId8" w:history="1">
              <w:r w:rsidR="00C63D2D" w:rsidRPr="00287B4F">
                <w:rPr>
                  <w:rStyle w:val="Hyperlink"/>
                </w:rPr>
                <w:t>financestrategyandaccounts@suffolk.gov.uk</w:t>
              </w:r>
            </w:hyperlink>
            <w:r w:rsidR="00C63D2D">
              <w:t xml:space="preserve"> .</w:t>
            </w:r>
            <w:r>
              <w:t xml:space="preserve">  We can arrange journals to satisfy the accounting requirements of both schools and make sure we only end up with one asset on the asset register.  </w:t>
            </w:r>
          </w:p>
          <w:p w14:paraId="7CD718A3" w14:textId="77777777" w:rsidR="00DF793A" w:rsidRDefault="00DF793A">
            <w:pPr>
              <w:rPr>
                <w:bCs/>
              </w:rPr>
            </w:pPr>
          </w:p>
        </w:tc>
      </w:tr>
      <w:tr w:rsidR="00DF793A" w14:paraId="5AA5317C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3BEB34BE" w14:textId="77777777" w:rsidR="00DF793A" w:rsidRDefault="00DF793A" w:rsidP="00AA4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Information</w:t>
            </w:r>
          </w:p>
          <w:p w14:paraId="49534386" w14:textId="77777777" w:rsidR="00DF793A" w:rsidRDefault="00DF793A" w:rsidP="00AA4B0A">
            <w:pPr>
              <w:jc w:val="center"/>
              <w:rPr>
                <w:b/>
                <w:bCs/>
              </w:rPr>
            </w:pPr>
          </w:p>
          <w:p w14:paraId="1A52581B" w14:textId="77777777" w:rsidR="00DF793A" w:rsidRPr="00DF793A" w:rsidRDefault="00DF793A" w:rsidP="00AA4B0A">
            <w:pPr>
              <w:jc w:val="center"/>
              <w:rPr>
                <w:bCs/>
              </w:rPr>
            </w:pPr>
            <w:r w:rsidRPr="00DF793A">
              <w:rPr>
                <w:bCs/>
              </w:rPr>
              <w:t>All schools</w:t>
            </w:r>
          </w:p>
        </w:tc>
        <w:tc>
          <w:tcPr>
            <w:tcW w:w="4050" w:type="dxa"/>
          </w:tcPr>
          <w:p w14:paraId="640AB0EA" w14:textId="77777777" w:rsidR="00DF793A" w:rsidRDefault="00DF79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We are receiving funding from CYP to pay for some capital items, how should we receive this funding?</w:t>
            </w:r>
          </w:p>
        </w:tc>
        <w:tc>
          <w:tcPr>
            <w:tcW w:w="5090" w:type="dxa"/>
          </w:tcPr>
          <w:p w14:paraId="0931E830" w14:textId="77777777" w:rsidR="00DF793A" w:rsidRDefault="00DF793A">
            <w:pPr>
              <w:rPr>
                <w:bCs/>
              </w:rPr>
            </w:pPr>
            <w:r>
              <w:rPr>
                <w:bCs/>
              </w:rPr>
              <w:t>All funding received from CYP should be transferred to the school as additional capital income.  You shouldn’t receive credits against expenditure codes.</w:t>
            </w:r>
          </w:p>
        </w:tc>
      </w:tr>
    </w:tbl>
    <w:p w14:paraId="0E6836CB" w14:textId="77777777" w:rsidR="00205FC6" w:rsidRDefault="00205FC6" w:rsidP="002E3F97"/>
    <w:sectPr w:rsidR="00205FC6">
      <w:pgSz w:w="11906" w:h="16838"/>
      <w:pgMar w:top="851" w:right="851" w:bottom="851" w:left="851" w:header="992" w:footer="284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FC7"/>
    <w:multiLevelType w:val="hybridMultilevel"/>
    <w:tmpl w:val="FCFCD72E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B01"/>
    <w:multiLevelType w:val="hybridMultilevel"/>
    <w:tmpl w:val="261678B4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3EE2"/>
    <w:multiLevelType w:val="hybridMultilevel"/>
    <w:tmpl w:val="4E2EA09C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D372A"/>
    <w:multiLevelType w:val="hybridMultilevel"/>
    <w:tmpl w:val="F3E8AFC4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57496"/>
    <w:multiLevelType w:val="hybridMultilevel"/>
    <w:tmpl w:val="CFA0D020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34ED"/>
    <w:multiLevelType w:val="hybridMultilevel"/>
    <w:tmpl w:val="52CA8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1366"/>
    <w:multiLevelType w:val="hybridMultilevel"/>
    <w:tmpl w:val="DA12780E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2B4F"/>
    <w:multiLevelType w:val="hybridMultilevel"/>
    <w:tmpl w:val="64DCDAE2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0DD3"/>
    <w:multiLevelType w:val="hybridMultilevel"/>
    <w:tmpl w:val="207A5726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D11A2"/>
    <w:multiLevelType w:val="hybridMultilevel"/>
    <w:tmpl w:val="3EAE0A84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316"/>
    <w:multiLevelType w:val="hybridMultilevel"/>
    <w:tmpl w:val="C20E1C80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5263"/>
    <w:multiLevelType w:val="hybridMultilevel"/>
    <w:tmpl w:val="AD0087B4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864FE"/>
    <w:multiLevelType w:val="hybridMultilevel"/>
    <w:tmpl w:val="7EEE09D6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A296D"/>
    <w:multiLevelType w:val="hybridMultilevel"/>
    <w:tmpl w:val="047C521E"/>
    <w:lvl w:ilvl="0" w:tplc="B7585BE4">
      <w:start w:val="1"/>
      <w:numFmt w:val="bullet"/>
      <w:lvlText w:val="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F0"/>
    <w:rsid w:val="000F6D80"/>
    <w:rsid w:val="001C2AE0"/>
    <w:rsid w:val="00205FC6"/>
    <w:rsid w:val="002E3487"/>
    <w:rsid w:val="002E3F97"/>
    <w:rsid w:val="00360980"/>
    <w:rsid w:val="00373B23"/>
    <w:rsid w:val="00377465"/>
    <w:rsid w:val="003862F0"/>
    <w:rsid w:val="003D3CCD"/>
    <w:rsid w:val="003E1C2C"/>
    <w:rsid w:val="00466C93"/>
    <w:rsid w:val="00490653"/>
    <w:rsid w:val="00535B17"/>
    <w:rsid w:val="00542F21"/>
    <w:rsid w:val="00544944"/>
    <w:rsid w:val="00574C99"/>
    <w:rsid w:val="00607EA4"/>
    <w:rsid w:val="00632650"/>
    <w:rsid w:val="0065532C"/>
    <w:rsid w:val="00662F7F"/>
    <w:rsid w:val="00676FB5"/>
    <w:rsid w:val="006C3C4D"/>
    <w:rsid w:val="006D6ADA"/>
    <w:rsid w:val="00710742"/>
    <w:rsid w:val="0071107C"/>
    <w:rsid w:val="00735551"/>
    <w:rsid w:val="00797EBA"/>
    <w:rsid w:val="007C44C5"/>
    <w:rsid w:val="00830DA3"/>
    <w:rsid w:val="008D4BF2"/>
    <w:rsid w:val="008F3124"/>
    <w:rsid w:val="00992D19"/>
    <w:rsid w:val="00A740B2"/>
    <w:rsid w:val="00AA4B0A"/>
    <w:rsid w:val="00B2477D"/>
    <w:rsid w:val="00C366D2"/>
    <w:rsid w:val="00C63D2D"/>
    <w:rsid w:val="00C72FF5"/>
    <w:rsid w:val="00CA5F1B"/>
    <w:rsid w:val="00D01D26"/>
    <w:rsid w:val="00D554FA"/>
    <w:rsid w:val="00D85018"/>
    <w:rsid w:val="00DA4197"/>
    <w:rsid w:val="00DF793A"/>
    <w:rsid w:val="00E2394F"/>
    <w:rsid w:val="00E36FED"/>
    <w:rsid w:val="00F47B4F"/>
    <w:rsid w:val="00F61812"/>
    <w:rsid w:val="00F9435C"/>
    <w:rsid w:val="00FC4BC6"/>
    <w:rsid w:val="00FC65FC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D3713F"/>
  <w15:chartTrackingRefBased/>
  <w15:docId w15:val="{CA07912F-82C1-4E9B-8AC4-6DD0F0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(W1)" w:hAnsi="Arial (W1)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FF0000"/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377465"/>
    <w:rPr>
      <w:rFonts w:ascii="Tahoma" w:hAnsi="Tahoma" w:cs="Tahoma"/>
      <w:sz w:val="16"/>
      <w:szCs w:val="16"/>
    </w:rPr>
  </w:style>
  <w:style w:type="character" w:styleId="Hyperlink">
    <w:name w:val="Hyperlink"/>
    <w:rsid w:val="00E2394F"/>
    <w:rPr>
      <w:color w:val="0000FF"/>
      <w:u w:val="single"/>
    </w:rPr>
  </w:style>
  <w:style w:type="character" w:styleId="FollowedHyperlink">
    <w:name w:val="FollowedHyperlink"/>
    <w:rsid w:val="0065532C"/>
    <w:rPr>
      <w:color w:val="800080"/>
      <w:u w:val="single"/>
    </w:rPr>
  </w:style>
  <w:style w:type="paragraph" w:styleId="Header">
    <w:name w:val="header"/>
    <w:basedOn w:val="Normal"/>
    <w:link w:val="HeaderChar"/>
    <w:rsid w:val="00C72FF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72F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trategyandaccounts@suffol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strageyandaccounts@suf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surf.suffolkcc.gov.uk/docs/unrestricted/Finance_Service/Capital_and_Mutual_Loans/Guidance/index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Finance Questions raised by Schools Issue 104 date 21.11.2007</vt:lpstr>
    </vt:vector>
  </TitlesOfParts>
  <Manager>Carole Murton</Manager>
  <Company>Suffolk County Council</Company>
  <LinksUpToDate>false</LinksUpToDate>
  <CharactersWithSpaces>3508</CharactersWithSpaces>
  <SharedDoc>false</SharedDoc>
  <HLinks>
    <vt:vector size="18" baseType="variant">
      <vt:variant>
        <vt:i4>4063314</vt:i4>
      </vt:variant>
      <vt:variant>
        <vt:i4>6</vt:i4>
      </vt:variant>
      <vt:variant>
        <vt:i4>0</vt:i4>
      </vt:variant>
      <vt:variant>
        <vt:i4>5</vt:i4>
      </vt:variant>
      <vt:variant>
        <vt:lpwstr>mailto:financestrategyandaccounts@suffolk.gov.uk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mailto:financestrageyandaccounts@suffolk.gov.uk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https://www.schoolsurf.suffolkcc.gov.uk/docs/unrestricted/Finance_Service/Capital_and_Mutual_Loans/Guidance/index.aspx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Finance Questions raised by Schools Issue 104 date 21.11.2007</dc:title>
  <dc:subject>Headteacher and School Bursar</dc:subject>
  <dc:creator>carolemn</dc:creator>
  <cp:keywords>For Information</cp:keywords>
  <cp:lastModifiedBy>Ben Scarfe</cp:lastModifiedBy>
  <cp:revision>2</cp:revision>
  <cp:lastPrinted>2007-10-23T12:44:00Z</cp:lastPrinted>
  <dcterms:created xsi:type="dcterms:W3CDTF">2021-07-28T17:08:00Z</dcterms:created>
  <dcterms:modified xsi:type="dcterms:W3CDTF">2021-07-28T17:08:00Z</dcterms:modified>
  <cp:category>A</cp:category>
</cp:coreProperties>
</file>